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CE3B1" w14:textId="68B7ABBF" w:rsidR="00F92CA0" w:rsidRDefault="00F92CA0" w:rsidP="3DD130FA">
      <w:pPr>
        <w:pStyle w:val="paragraph"/>
        <w:spacing w:before="0" w:beforeAutospacing="0" w:after="0" w:afterAutospacing="0"/>
        <w:textAlignment w:val="baseline"/>
        <w:rPr>
          <w:rStyle w:val="normaltextrun"/>
          <w:rFonts w:ascii="Calibri" w:hAnsi="Calibri" w:cs="Calibri"/>
        </w:rPr>
      </w:pPr>
      <w:r>
        <w:rPr>
          <w:noProof/>
          <w:color w:val="31808B"/>
        </w:rPr>
        <w:drawing>
          <wp:anchor distT="0" distB="0" distL="114300" distR="114300" simplePos="0" relativeHeight="251659264" behindDoc="0" locked="0" layoutInCell="1" allowOverlap="1" wp14:anchorId="6944A0A5" wp14:editId="4A36CC62">
            <wp:simplePos x="0" y="0"/>
            <wp:positionH relativeFrom="column">
              <wp:posOffset>37708</wp:posOffset>
            </wp:positionH>
            <wp:positionV relativeFrom="paragraph">
              <wp:posOffset>-499620</wp:posOffset>
            </wp:positionV>
            <wp:extent cx="1949450" cy="5575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ong efpi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9450" cy="557530"/>
                    </a:xfrm>
                    <a:prstGeom prst="rect">
                      <a:avLst/>
                    </a:prstGeom>
                  </pic:spPr>
                </pic:pic>
              </a:graphicData>
            </a:graphic>
          </wp:anchor>
        </w:drawing>
      </w:r>
    </w:p>
    <w:p w14:paraId="2914CFBA" w14:textId="77777777" w:rsidR="00F92CA0" w:rsidRDefault="00F92CA0" w:rsidP="00F92CA0">
      <w:pPr>
        <w:pStyle w:val="paragraph"/>
        <w:spacing w:before="0" w:beforeAutospacing="0" w:after="0" w:afterAutospacing="0"/>
        <w:jc w:val="both"/>
        <w:textAlignment w:val="baseline"/>
        <w:rPr>
          <w:rStyle w:val="normaltextrun"/>
          <w:rFonts w:ascii="Calibri" w:hAnsi="Calibri" w:cs="Calibri"/>
        </w:rPr>
      </w:pPr>
    </w:p>
    <w:p w14:paraId="37AF959D" w14:textId="77777777" w:rsidR="00F92CA0" w:rsidRPr="00F92CA0" w:rsidRDefault="00F92CA0" w:rsidP="00F92CA0">
      <w:pPr>
        <w:spacing w:after="0" w:line="240" w:lineRule="auto"/>
        <w:rPr>
          <w:rFonts w:eastAsia="Times New Roman" w:cstheme="minorHAnsi"/>
          <w:sz w:val="26"/>
          <w:szCs w:val="26"/>
          <w:u w:val="single"/>
        </w:rPr>
      </w:pPr>
      <w:r w:rsidRPr="00F92CA0">
        <w:rPr>
          <w:rFonts w:eastAsia="Times New Roman" w:cstheme="minorHAnsi"/>
          <w:color w:val="222222"/>
          <w:sz w:val="26"/>
          <w:szCs w:val="26"/>
          <w:u w:val="single"/>
          <w:shd w:val="clear" w:color="auto" w:fill="FFFFFF"/>
        </w:rPr>
        <w:t>EFPIA response on the EC’s proposal (</w:t>
      </w:r>
      <w:proofErr w:type="gramStart"/>
      <w:r w:rsidRPr="00F92CA0">
        <w:rPr>
          <w:rFonts w:eastAsia="Times New Roman" w:cstheme="minorHAnsi"/>
          <w:color w:val="222222"/>
          <w:sz w:val="26"/>
          <w:szCs w:val="26"/>
          <w:u w:val="single"/>
          <w:shd w:val="clear" w:color="auto" w:fill="FFFFFF"/>
        </w:rPr>
        <w:t>COM(</w:t>
      </w:r>
      <w:proofErr w:type="gramEnd"/>
      <w:r w:rsidRPr="00F92CA0">
        <w:rPr>
          <w:rFonts w:eastAsia="Times New Roman" w:cstheme="minorHAnsi"/>
          <w:color w:val="222222"/>
          <w:sz w:val="26"/>
          <w:szCs w:val="26"/>
          <w:u w:val="single"/>
          <w:shd w:val="clear" w:color="auto" w:fill="FFFFFF"/>
        </w:rPr>
        <w:t>2022) 338 final) “on standards of quality and safety for substances of human origin intended for human application and repealing Directives 2002/98/EC and 2004/23/EC”</w:t>
      </w:r>
    </w:p>
    <w:p w14:paraId="1AA12820" w14:textId="77777777" w:rsidR="00F92CA0" w:rsidRDefault="00F92CA0" w:rsidP="00F92CA0">
      <w:pPr>
        <w:pStyle w:val="paragraph"/>
        <w:spacing w:before="0" w:beforeAutospacing="0" w:after="0" w:afterAutospacing="0"/>
        <w:jc w:val="both"/>
        <w:textAlignment w:val="baseline"/>
        <w:rPr>
          <w:rStyle w:val="normaltextrun"/>
          <w:rFonts w:ascii="Calibri" w:hAnsi="Calibri" w:cs="Calibri"/>
        </w:rPr>
      </w:pPr>
    </w:p>
    <w:p w14:paraId="1DE11680" w14:textId="093A3F75" w:rsidR="000F71AD" w:rsidRDefault="393BE697" w:rsidP="00F92CA0">
      <w:pPr>
        <w:pStyle w:val="paragraph"/>
        <w:spacing w:before="0" w:beforeAutospacing="0" w:after="0" w:afterAutospacing="0"/>
        <w:jc w:val="both"/>
        <w:textAlignment w:val="baseline"/>
        <w:rPr>
          <w:rStyle w:val="normaltextrun"/>
          <w:rFonts w:ascii="Calibri" w:hAnsi="Calibri" w:cs="Calibri"/>
          <w:strike/>
          <w:color w:val="881798"/>
        </w:rPr>
      </w:pPr>
      <w:r w:rsidRPr="393BE697">
        <w:rPr>
          <w:rStyle w:val="normaltextrun"/>
          <w:rFonts w:ascii="Calibri" w:hAnsi="Calibri" w:cs="Calibri"/>
        </w:rPr>
        <w:t xml:space="preserve">The proposed Substances of Human </w:t>
      </w:r>
      <w:proofErr w:type="gramStart"/>
      <w:r w:rsidRPr="393BE697">
        <w:rPr>
          <w:rStyle w:val="normaltextrun"/>
          <w:rFonts w:ascii="Calibri" w:hAnsi="Calibri" w:cs="Calibri"/>
        </w:rPr>
        <w:t>Origin(</w:t>
      </w:r>
      <w:proofErr w:type="spellStart"/>
      <w:proofErr w:type="gramEnd"/>
      <w:r w:rsidRPr="393BE697">
        <w:rPr>
          <w:rStyle w:val="normaltextrun"/>
          <w:rFonts w:ascii="Calibri" w:hAnsi="Calibri" w:cs="Calibri"/>
        </w:rPr>
        <w:t>SoHO</w:t>
      </w:r>
      <w:proofErr w:type="spellEnd"/>
      <w:r w:rsidRPr="393BE697">
        <w:rPr>
          <w:rStyle w:val="normaltextrun"/>
          <w:rFonts w:ascii="Calibri" w:hAnsi="Calibri" w:cs="Calibri"/>
        </w:rPr>
        <w:t xml:space="preserve">) Regulation intends to harmonize measures for Member States and organizations involved in activities related to </w:t>
      </w:r>
      <w:proofErr w:type="spellStart"/>
      <w:r w:rsidRPr="393BE697">
        <w:rPr>
          <w:rStyle w:val="spellingerror"/>
          <w:rFonts w:ascii="Calibri" w:hAnsi="Calibri" w:cs="Calibri"/>
        </w:rPr>
        <w:t>SoHOs</w:t>
      </w:r>
      <w:proofErr w:type="spellEnd"/>
      <w:r w:rsidRPr="393BE697">
        <w:rPr>
          <w:rStyle w:val="normaltextrun"/>
          <w:rFonts w:ascii="Calibri" w:hAnsi="Calibri" w:cs="Calibri"/>
        </w:rPr>
        <w:t xml:space="preserve"> for human application, facilitating cross-border exchange and continuity of supply in the EU. EFPIA supports these aims but is concerned about areas of the </w:t>
      </w:r>
      <w:proofErr w:type="spellStart"/>
      <w:r w:rsidRPr="393BE697">
        <w:rPr>
          <w:rStyle w:val="spellingerror"/>
          <w:rFonts w:ascii="Calibri" w:hAnsi="Calibri" w:cs="Calibri"/>
        </w:rPr>
        <w:t>SoHO</w:t>
      </w:r>
      <w:proofErr w:type="spellEnd"/>
      <w:r w:rsidRPr="393BE697">
        <w:rPr>
          <w:rStyle w:val="normaltextrun"/>
          <w:rFonts w:ascii="Calibri" w:hAnsi="Calibri" w:cs="Calibri"/>
        </w:rPr>
        <w:t xml:space="preserve"> Regulation that appear incoherent with medicinal product regulation. </w:t>
      </w:r>
    </w:p>
    <w:p w14:paraId="0CE82FB7" w14:textId="5F28FA80" w:rsidR="000F71AD" w:rsidRDefault="000F71AD" w:rsidP="00F92CA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52C6775" w14:textId="5C5A5F0B" w:rsidR="000F71AD" w:rsidRDefault="37AA30F7" w:rsidP="00F92CA0">
      <w:pPr>
        <w:pStyle w:val="paragraph"/>
        <w:spacing w:before="0" w:beforeAutospacing="0" w:after="0" w:afterAutospacing="0"/>
        <w:jc w:val="both"/>
        <w:textAlignment w:val="baseline"/>
        <w:rPr>
          <w:rStyle w:val="normaltextrun"/>
          <w:rFonts w:ascii="Calibri" w:hAnsi="Calibri" w:cs="Calibri"/>
        </w:rPr>
      </w:pPr>
      <w:r w:rsidRPr="37AA30F7">
        <w:rPr>
          <w:rStyle w:val="normaltextrun"/>
          <w:rFonts w:ascii="Calibri" w:hAnsi="Calibri" w:cs="Calibri"/>
        </w:rPr>
        <w:t xml:space="preserve">Article 2(3) clarifies the application of the regulation is limited to specific activities for </w:t>
      </w:r>
      <w:proofErr w:type="spellStart"/>
      <w:r w:rsidRPr="37AA30F7">
        <w:rPr>
          <w:rStyle w:val="normaltextrun"/>
          <w:rFonts w:ascii="Calibri" w:hAnsi="Calibri" w:cs="Calibri"/>
        </w:rPr>
        <w:t>SoHOs</w:t>
      </w:r>
      <w:proofErr w:type="spellEnd"/>
      <w:r w:rsidRPr="37AA30F7">
        <w:rPr>
          <w:rStyle w:val="normaltextrun"/>
          <w:rFonts w:ascii="Calibri" w:hAnsi="Calibri" w:cs="Calibri"/>
        </w:rPr>
        <w:t xml:space="preserve"> used to manufacture products regulated under other Union legislations (</w:t>
      </w:r>
      <w:r w:rsidRPr="37AA30F7">
        <w:rPr>
          <w:rStyle w:val="contextualspellingandgrammarerror"/>
          <w:rFonts w:ascii="Calibri" w:hAnsi="Calibri" w:cs="Calibri"/>
        </w:rPr>
        <w:t>e.g.</w:t>
      </w:r>
      <w:r w:rsidRPr="37AA30F7">
        <w:rPr>
          <w:rStyle w:val="normaltextrun"/>
          <w:rFonts w:ascii="Calibri" w:hAnsi="Calibri" w:cs="Calibri"/>
        </w:rPr>
        <w:t xml:space="preserve"> medicinal products and advanced therapy medicinal products (ATMPs)). Yet certain provisions remain unclear. </w:t>
      </w:r>
    </w:p>
    <w:p w14:paraId="427B36C7" w14:textId="421EDDB6" w:rsidR="000F71AD" w:rsidRDefault="000F71AD" w:rsidP="00F92CA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BF14C15" w14:textId="5721C502" w:rsidR="000F71AD" w:rsidRDefault="7449CD42" w:rsidP="00F92CA0">
      <w:pPr>
        <w:pStyle w:val="paragraph"/>
        <w:spacing w:before="0" w:beforeAutospacing="0" w:after="0" w:afterAutospacing="0"/>
        <w:jc w:val="both"/>
        <w:textAlignment w:val="baseline"/>
        <w:rPr>
          <w:rStyle w:val="normaltextrun"/>
          <w:rFonts w:ascii="Calibri" w:hAnsi="Calibri" w:cs="Calibri"/>
        </w:rPr>
      </w:pPr>
      <w:r w:rsidRPr="7449CD42">
        <w:rPr>
          <w:rStyle w:val="normaltextrun"/>
          <w:rFonts w:ascii="Calibri" w:hAnsi="Calibri" w:cs="Calibri"/>
        </w:rPr>
        <w:t xml:space="preserve">Human plasma included in a plasma master file is explicitly exempt in Art. 42 from importing </w:t>
      </w:r>
      <w:proofErr w:type="spellStart"/>
      <w:r w:rsidRPr="7449CD42">
        <w:rPr>
          <w:rStyle w:val="spellingerror"/>
          <w:rFonts w:ascii="Calibri" w:hAnsi="Calibri" w:cs="Calibri"/>
        </w:rPr>
        <w:t>SoHO</w:t>
      </w:r>
      <w:proofErr w:type="spellEnd"/>
      <w:r w:rsidRPr="7449CD42">
        <w:rPr>
          <w:rStyle w:val="normaltextrun"/>
          <w:rFonts w:ascii="Calibri" w:hAnsi="Calibri" w:cs="Calibri"/>
        </w:rPr>
        <w:t xml:space="preserve"> entity </w:t>
      </w:r>
      <w:proofErr w:type="spellStart"/>
      <w:r w:rsidRPr="7449CD42">
        <w:rPr>
          <w:rStyle w:val="normaltextrun"/>
          <w:rFonts w:ascii="Calibri" w:hAnsi="Calibri" w:cs="Calibri"/>
        </w:rPr>
        <w:t>authorisation</w:t>
      </w:r>
      <w:proofErr w:type="spellEnd"/>
      <w:r w:rsidRPr="7449CD42">
        <w:rPr>
          <w:rStyle w:val="normaltextrun"/>
          <w:rFonts w:ascii="Calibri" w:hAnsi="Calibri" w:cs="Calibri"/>
        </w:rPr>
        <w:t xml:space="preserve">. We ask Art. 42 and recital 11 be clarified so all </w:t>
      </w:r>
      <w:proofErr w:type="spellStart"/>
      <w:r w:rsidRPr="7449CD42">
        <w:rPr>
          <w:rStyle w:val="normaltextrun"/>
          <w:rFonts w:ascii="Calibri" w:hAnsi="Calibri" w:cs="Calibri"/>
        </w:rPr>
        <w:t>SoHO</w:t>
      </w:r>
      <w:proofErr w:type="spellEnd"/>
      <w:r w:rsidRPr="7449CD42">
        <w:rPr>
          <w:rStyle w:val="normaltextrun"/>
          <w:rFonts w:ascii="Calibri" w:hAnsi="Calibri" w:cs="Calibri"/>
        </w:rPr>
        <w:t xml:space="preserve"> import/export intended for manufacture of medicinal products (incl. A</w:t>
      </w:r>
      <w:bookmarkStart w:id="0" w:name="_GoBack"/>
      <w:bookmarkEnd w:id="0"/>
      <w:r w:rsidRPr="7449CD42">
        <w:rPr>
          <w:rStyle w:val="normaltextrun"/>
          <w:rFonts w:ascii="Calibri" w:hAnsi="Calibri" w:cs="Calibri"/>
        </w:rPr>
        <w:t xml:space="preserve">TMPs) are clearly exempt from </w:t>
      </w:r>
      <w:proofErr w:type="spellStart"/>
      <w:r w:rsidRPr="7449CD42">
        <w:rPr>
          <w:rStyle w:val="normaltextrun"/>
          <w:rFonts w:ascii="Calibri" w:hAnsi="Calibri" w:cs="Calibri"/>
        </w:rPr>
        <w:t>SoHO</w:t>
      </w:r>
      <w:proofErr w:type="spellEnd"/>
      <w:r w:rsidRPr="7449CD42">
        <w:rPr>
          <w:rStyle w:val="normaltextrun"/>
          <w:rFonts w:ascii="Calibri" w:hAnsi="Calibri" w:cs="Calibri"/>
        </w:rPr>
        <w:t xml:space="preserve"> entity authorization. Import and export of </w:t>
      </w:r>
      <w:proofErr w:type="spellStart"/>
      <w:r w:rsidRPr="7449CD42">
        <w:rPr>
          <w:rStyle w:val="spellingerror"/>
          <w:rFonts w:ascii="Calibri" w:hAnsi="Calibri" w:cs="Calibri"/>
        </w:rPr>
        <w:t>SoHOs</w:t>
      </w:r>
      <w:proofErr w:type="spellEnd"/>
      <w:r w:rsidRPr="7449CD42">
        <w:rPr>
          <w:rStyle w:val="normaltextrun"/>
          <w:rFonts w:ascii="Calibri" w:hAnsi="Calibri" w:cs="Calibri"/>
        </w:rPr>
        <w:t xml:space="preserve"> intended for manufacture medicinal products are regulated under the Pharmaceutical Legislation according to GMP principles for supplier qualification, and applying additional </w:t>
      </w:r>
      <w:proofErr w:type="spellStart"/>
      <w:r w:rsidRPr="7449CD42">
        <w:rPr>
          <w:rStyle w:val="spellingerror"/>
          <w:rFonts w:ascii="Calibri" w:hAnsi="Calibri" w:cs="Calibri"/>
        </w:rPr>
        <w:t>SoHO</w:t>
      </w:r>
      <w:proofErr w:type="spellEnd"/>
      <w:r w:rsidRPr="7449CD42">
        <w:rPr>
          <w:rStyle w:val="normaltextrun"/>
          <w:rFonts w:ascii="Calibri" w:hAnsi="Calibri" w:cs="Calibri"/>
        </w:rPr>
        <w:t xml:space="preserve"> entity requirements causes undue burden.</w:t>
      </w:r>
    </w:p>
    <w:p w14:paraId="4531A0F1" w14:textId="77777777" w:rsidR="000F71AD" w:rsidRDefault="000F71AD" w:rsidP="00F92CA0">
      <w:pPr>
        <w:pStyle w:val="paragraph"/>
        <w:spacing w:before="0" w:beforeAutospacing="0" w:after="0" w:afterAutospacing="0"/>
        <w:jc w:val="both"/>
        <w:textAlignment w:val="baseline"/>
        <w:rPr>
          <w:rFonts w:ascii="Segoe UI" w:hAnsi="Segoe UI" w:cs="Segoe UI"/>
          <w:sz w:val="18"/>
          <w:szCs w:val="18"/>
        </w:rPr>
      </w:pPr>
    </w:p>
    <w:p w14:paraId="430088A9" w14:textId="0F635FDA" w:rsidR="000F71AD" w:rsidRDefault="7F9E8E92" w:rsidP="00F92CA0">
      <w:pPr>
        <w:pStyle w:val="paragraph"/>
        <w:spacing w:before="0" w:beforeAutospacing="0" w:after="0" w:afterAutospacing="0"/>
        <w:jc w:val="both"/>
        <w:textAlignment w:val="baseline"/>
        <w:rPr>
          <w:rStyle w:val="eop"/>
          <w:rFonts w:ascii="Calibri" w:hAnsi="Calibri" w:cs="Calibri"/>
        </w:rPr>
      </w:pPr>
      <w:r w:rsidRPr="7F9E8E92">
        <w:rPr>
          <w:rStyle w:val="normaltextrun"/>
          <w:rFonts w:ascii="Calibri" w:hAnsi="Calibri" w:cs="Calibri"/>
        </w:rPr>
        <w:t xml:space="preserve">Recital 9 states the </w:t>
      </w:r>
      <w:proofErr w:type="spellStart"/>
      <w:r w:rsidRPr="7F9E8E92">
        <w:rPr>
          <w:rStyle w:val="spellingerror"/>
          <w:rFonts w:ascii="Calibri" w:hAnsi="Calibri" w:cs="Calibri"/>
        </w:rPr>
        <w:t>SoHO</w:t>
      </w:r>
      <w:proofErr w:type="spellEnd"/>
      <w:r w:rsidRPr="7F9E8E92">
        <w:rPr>
          <w:rStyle w:val="normaltextrun"/>
          <w:rFonts w:ascii="Calibri" w:hAnsi="Calibri" w:cs="Calibri"/>
        </w:rPr>
        <w:t xml:space="preserve"> regulation applies to genetically-modified organisms. This is inconsistent with Art. 2 as genetic manipulation is considered substantial manipulation, and should always fall into the realm of the ATMP regulation. </w:t>
      </w:r>
    </w:p>
    <w:p w14:paraId="597A906C" w14:textId="77777777" w:rsidR="000F71AD" w:rsidRDefault="000F71AD" w:rsidP="00F92CA0">
      <w:pPr>
        <w:pStyle w:val="paragraph"/>
        <w:spacing w:before="0" w:beforeAutospacing="0" w:after="0" w:afterAutospacing="0"/>
        <w:jc w:val="both"/>
        <w:textAlignment w:val="baseline"/>
        <w:rPr>
          <w:rFonts w:ascii="Segoe UI" w:hAnsi="Segoe UI" w:cs="Segoe UI"/>
          <w:sz w:val="18"/>
          <w:szCs w:val="18"/>
        </w:rPr>
      </w:pPr>
    </w:p>
    <w:p w14:paraId="06879CBB" w14:textId="003C85B6" w:rsidR="000F71AD" w:rsidRDefault="7449CD42" w:rsidP="00F92CA0">
      <w:pPr>
        <w:pStyle w:val="paragraph"/>
        <w:spacing w:before="0" w:beforeAutospacing="0" w:after="0" w:afterAutospacing="0"/>
        <w:jc w:val="both"/>
        <w:textAlignment w:val="baseline"/>
        <w:rPr>
          <w:rStyle w:val="normaltextrun"/>
          <w:rFonts w:ascii="Calibri" w:hAnsi="Calibri" w:cs="Calibri"/>
        </w:rPr>
      </w:pPr>
      <w:r w:rsidRPr="7449CD42">
        <w:rPr>
          <w:rStyle w:val="normaltextrun"/>
          <w:rFonts w:ascii="Calibri" w:hAnsi="Calibri" w:cs="Calibri"/>
        </w:rPr>
        <w:t xml:space="preserve">No reference is made in the </w:t>
      </w:r>
      <w:proofErr w:type="spellStart"/>
      <w:r w:rsidRPr="7449CD42">
        <w:rPr>
          <w:rStyle w:val="normaltextrun"/>
          <w:rFonts w:ascii="Calibri" w:hAnsi="Calibri" w:cs="Calibri"/>
        </w:rPr>
        <w:t>SoHO</w:t>
      </w:r>
      <w:proofErr w:type="spellEnd"/>
      <w:r w:rsidRPr="7449CD42">
        <w:rPr>
          <w:rStyle w:val="normaltextrun"/>
          <w:rFonts w:ascii="Calibri" w:hAnsi="Calibri" w:cs="Calibri"/>
        </w:rPr>
        <w:t xml:space="preserve"> Regulation to medicinal products produced under Clinical Trials Regulation 536/2014. Art. 2(3) and Recital 11 should include this reference to clarify that starting material used in production of investigational medicinal products are included. </w:t>
      </w:r>
    </w:p>
    <w:p w14:paraId="745FBE56" w14:textId="77777777" w:rsidR="000F71AD" w:rsidRDefault="000F71AD" w:rsidP="00F92CA0">
      <w:pPr>
        <w:pStyle w:val="paragraph"/>
        <w:spacing w:before="0" w:beforeAutospacing="0" w:after="0" w:afterAutospacing="0"/>
        <w:jc w:val="both"/>
        <w:textAlignment w:val="baseline"/>
        <w:rPr>
          <w:rFonts w:ascii="Segoe UI" w:hAnsi="Segoe UI" w:cs="Segoe UI"/>
          <w:sz w:val="18"/>
          <w:szCs w:val="18"/>
        </w:rPr>
      </w:pPr>
    </w:p>
    <w:p w14:paraId="1B94638A" w14:textId="0E26ADDD" w:rsidR="000F71AD" w:rsidRDefault="6BC571D9" w:rsidP="00F92CA0">
      <w:pPr>
        <w:pStyle w:val="paragraph"/>
        <w:spacing w:before="0" w:beforeAutospacing="0" w:after="0" w:afterAutospacing="0"/>
        <w:jc w:val="both"/>
        <w:textAlignment w:val="baseline"/>
        <w:rPr>
          <w:rFonts w:ascii="Segoe UI" w:hAnsi="Segoe UI" w:cs="Segoe UI"/>
          <w:sz w:val="18"/>
          <w:szCs w:val="18"/>
        </w:rPr>
      </w:pPr>
      <w:r w:rsidRPr="6BC571D9">
        <w:rPr>
          <w:rStyle w:val="normaltextrun"/>
          <w:rFonts w:ascii="Calibri" w:hAnsi="Calibri" w:cs="Calibri"/>
        </w:rPr>
        <w:t xml:space="preserve">Regarding borderline cases, Recitals 24 &amp; 39 and Article 14 of the proposed </w:t>
      </w:r>
      <w:proofErr w:type="spellStart"/>
      <w:r w:rsidRPr="6BC571D9">
        <w:rPr>
          <w:rStyle w:val="normaltextrun"/>
          <w:rFonts w:ascii="Calibri" w:hAnsi="Calibri" w:cs="Calibri"/>
        </w:rPr>
        <w:t>SoHO</w:t>
      </w:r>
      <w:proofErr w:type="spellEnd"/>
      <w:r w:rsidRPr="6BC571D9">
        <w:rPr>
          <w:rStyle w:val="normaltextrun"/>
          <w:rFonts w:ascii="Calibri" w:hAnsi="Calibri" w:cs="Calibri"/>
        </w:rPr>
        <w:t xml:space="preserve"> regulation state when there is doubt about the regulatory status of a substance, product or activity, </w:t>
      </w:r>
      <w:proofErr w:type="spellStart"/>
      <w:r w:rsidRPr="6BC571D9">
        <w:rPr>
          <w:rStyle w:val="normaltextrun"/>
          <w:rFonts w:ascii="Calibri" w:hAnsi="Calibri" w:cs="Calibri"/>
        </w:rPr>
        <w:t>SoHO</w:t>
      </w:r>
      <w:proofErr w:type="spellEnd"/>
      <w:r w:rsidRPr="6BC571D9">
        <w:rPr>
          <w:rStyle w:val="normaltextrun"/>
          <w:rFonts w:ascii="Calibri" w:hAnsi="Calibri" w:cs="Calibri"/>
        </w:rPr>
        <w:t xml:space="preserve"> competent authorities shall consult with the relevant authorities responsible for other regulatory frameworks and may request an opinion from the </w:t>
      </w:r>
      <w:proofErr w:type="spellStart"/>
      <w:r w:rsidRPr="6BC571D9">
        <w:rPr>
          <w:rStyle w:val="normaltextrun"/>
          <w:rFonts w:ascii="Calibri" w:hAnsi="Calibri" w:cs="Calibri"/>
        </w:rPr>
        <w:t>SoHO</w:t>
      </w:r>
      <w:proofErr w:type="spellEnd"/>
      <w:r w:rsidRPr="6BC571D9">
        <w:rPr>
          <w:rStyle w:val="normaltextrun"/>
          <w:rFonts w:ascii="Calibri" w:hAnsi="Calibri" w:cs="Calibri"/>
        </w:rPr>
        <w:t xml:space="preserve"> coordination board (SCB) who will keep a compendium of decisions taken. The EU Commission is also empowered to decide on the regulatory status under the </w:t>
      </w:r>
      <w:proofErr w:type="spellStart"/>
      <w:r w:rsidRPr="6BC571D9">
        <w:rPr>
          <w:rStyle w:val="normaltextrun"/>
          <w:rFonts w:ascii="Calibri" w:hAnsi="Calibri" w:cs="Calibri"/>
        </w:rPr>
        <w:t>SoHO</w:t>
      </w:r>
      <w:proofErr w:type="spellEnd"/>
      <w:r w:rsidRPr="6BC571D9">
        <w:rPr>
          <w:rStyle w:val="normaltextrun"/>
          <w:rFonts w:ascii="Calibri" w:hAnsi="Calibri" w:cs="Calibri"/>
        </w:rPr>
        <w:t xml:space="preserve"> Regulation upon request or on its own initiative.  </w:t>
      </w:r>
    </w:p>
    <w:p w14:paraId="3CEFB2B9" w14:textId="24AA801B" w:rsidR="000F71AD" w:rsidRDefault="7449CD42" w:rsidP="00F92CA0">
      <w:pPr>
        <w:pStyle w:val="paragraph"/>
        <w:spacing w:before="0" w:beforeAutospacing="0" w:after="0" w:afterAutospacing="0"/>
        <w:jc w:val="both"/>
        <w:textAlignment w:val="baseline"/>
        <w:rPr>
          <w:rStyle w:val="eop"/>
          <w:rFonts w:ascii="Calibri" w:hAnsi="Calibri" w:cs="Calibri"/>
        </w:rPr>
      </w:pPr>
      <w:r w:rsidRPr="7449CD42">
        <w:rPr>
          <w:rStyle w:val="scxw107312616"/>
          <w:rFonts w:ascii="Calibri" w:hAnsi="Calibri" w:cs="Calibri"/>
          <w:sz w:val="22"/>
          <w:szCs w:val="22"/>
        </w:rPr>
        <w:t> </w:t>
      </w:r>
      <w:r w:rsidR="000F71AD">
        <w:br/>
      </w:r>
      <w:r w:rsidRPr="7449CD42">
        <w:rPr>
          <w:rStyle w:val="normaltextrun"/>
          <w:rFonts w:ascii="Calibri" w:hAnsi="Calibri" w:cs="Calibri"/>
        </w:rPr>
        <w:t xml:space="preserve">In general, we welcome measures to ensure clarity and harmonization of borderline cases across the EU. The ATMP classification procedure defined in Regulation 1394/2007 is established at EMA based on the scientific recommendation of the Committee for Advanced Therapies (CAT). A more robust approach is needed to ensure the borderline classifications by CAT, Member States and SCB do not lead to divergent outcomes.  The approach in Art. 14 aims to reduce potential divergency, however, the need to consult with CAT should be clearly reflected.  Recital 40 and Article 68(1) notes the need for SCB to collaborate with EMA in </w:t>
      </w:r>
      <w:r w:rsidRPr="7449CD42">
        <w:rPr>
          <w:rStyle w:val="normaltextrun"/>
          <w:rFonts w:ascii="Calibri" w:hAnsi="Calibri" w:cs="Calibri"/>
        </w:rPr>
        <w:lastRenderedPageBreak/>
        <w:t xml:space="preserve">relation to </w:t>
      </w:r>
      <w:proofErr w:type="spellStart"/>
      <w:r w:rsidRPr="7449CD42">
        <w:rPr>
          <w:rStyle w:val="normaltextrun"/>
          <w:rFonts w:ascii="Calibri" w:hAnsi="Calibri" w:cs="Calibri"/>
        </w:rPr>
        <w:t>authorisation</w:t>
      </w:r>
      <w:proofErr w:type="spellEnd"/>
      <w:r w:rsidRPr="7449CD42">
        <w:rPr>
          <w:rStyle w:val="normaltextrun"/>
          <w:rFonts w:ascii="Calibri" w:hAnsi="Calibri" w:cs="Calibri"/>
        </w:rPr>
        <w:t xml:space="preserve"> of plasma but should encompass guidelines impacting ATMP production. </w:t>
      </w:r>
    </w:p>
    <w:p w14:paraId="2C023E6F" w14:textId="2BBF07C8" w:rsidR="000F71AD" w:rsidRDefault="000F71AD" w:rsidP="00F92CA0">
      <w:pPr>
        <w:pStyle w:val="paragraph"/>
        <w:spacing w:before="0" w:beforeAutospacing="0" w:after="0" w:afterAutospacing="0"/>
        <w:jc w:val="both"/>
        <w:textAlignment w:val="baseline"/>
        <w:rPr>
          <w:rStyle w:val="normaltextrun"/>
          <w:rFonts w:ascii="Calibri" w:hAnsi="Calibri" w:cs="Calibri"/>
        </w:rPr>
      </w:pPr>
    </w:p>
    <w:p w14:paraId="7DAD5A0C" w14:textId="3B73CE6C" w:rsidR="000F71AD" w:rsidRDefault="6BC571D9" w:rsidP="00F92CA0">
      <w:pPr>
        <w:pStyle w:val="paragraph"/>
        <w:spacing w:before="0" w:beforeAutospacing="0" w:after="0" w:afterAutospacing="0"/>
        <w:jc w:val="both"/>
        <w:textAlignment w:val="baseline"/>
        <w:rPr>
          <w:rStyle w:val="eop"/>
          <w:rFonts w:ascii="Calibri" w:hAnsi="Calibri" w:cs="Calibri"/>
        </w:rPr>
      </w:pPr>
      <w:r w:rsidRPr="6BC571D9">
        <w:rPr>
          <w:rStyle w:val="normaltextrun"/>
          <w:rFonts w:ascii="Calibri" w:hAnsi="Calibri" w:cs="Calibri"/>
        </w:rPr>
        <w:t>The complex interplay proposed in Art. 14 may create additional hurdles that could delay the development and patient access to novel therapies. We strongly believe that in conjunction with the Pharma revision a clear hierarchy on classification of borderline products should be defined at a centralized EU level.  </w:t>
      </w:r>
    </w:p>
    <w:p w14:paraId="302E1E07" w14:textId="3C7B2224" w:rsidR="000F71AD" w:rsidRDefault="000F71AD" w:rsidP="00F92CA0">
      <w:pPr>
        <w:pStyle w:val="paragraph"/>
        <w:spacing w:before="0" w:beforeAutospacing="0" w:after="0" w:afterAutospacing="0"/>
        <w:jc w:val="both"/>
        <w:textAlignment w:val="baseline"/>
        <w:rPr>
          <w:rStyle w:val="normaltextrun"/>
        </w:rPr>
      </w:pPr>
    </w:p>
    <w:p w14:paraId="77287D7C" w14:textId="5E452810" w:rsidR="000F71AD" w:rsidRDefault="7449CD42" w:rsidP="00F92CA0">
      <w:pPr>
        <w:spacing w:after="0"/>
        <w:jc w:val="both"/>
        <w:textAlignment w:val="baseline"/>
        <w:rPr>
          <w:rFonts w:ascii="Calibri" w:eastAsia="Calibri" w:hAnsi="Calibri" w:cs="Calibri"/>
          <w:sz w:val="24"/>
          <w:szCs w:val="24"/>
        </w:rPr>
      </w:pPr>
      <w:r w:rsidRPr="7449CD42">
        <w:rPr>
          <w:rFonts w:ascii="Calibri" w:eastAsia="Calibri" w:hAnsi="Calibri" w:cs="Calibri"/>
          <w:sz w:val="24"/>
          <w:szCs w:val="24"/>
        </w:rPr>
        <w:t>Given the reliance on a new SCB and technical expert bodies EDQM and ECDC to adapt requirements to scientific progress, we underline the importance of leveraging subject matter expertise, including in industry, through structured dialogue and transparent consultation with all stakeholders when updating or developing technical guidelines.</w:t>
      </w:r>
    </w:p>
    <w:p w14:paraId="181A553C" w14:textId="6A820219" w:rsidR="000F71AD" w:rsidRDefault="000F71AD" w:rsidP="00F92CA0">
      <w:pPr>
        <w:pStyle w:val="paragraph"/>
        <w:spacing w:before="0" w:beforeAutospacing="0" w:after="0" w:afterAutospacing="0"/>
        <w:jc w:val="both"/>
        <w:textAlignment w:val="baseline"/>
        <w:rPr>
          <w:rStyle w:val="normaltextrun"/>
        </w:rPr>
      </w:pPr>
    </w:p>
    <w:p w14:paraId="3A77B9EE" w14:textId="7E207A22" w:rsidR="008E4FEA" w:rsidRDefault="26617742" w:rsidP="00F92CA0">
      <w:pPr>
        <w:pStyle w:val="paragraph"/>
        <w:spacing w:before="0" w:beforeAutospacing="0" w:after="0" w:afterAutospacing="0"/>
        <w:jc w:val="both"/>
        <w:textAlignment w:val="baseline"/>
        <w:rPr>
          <w:rStyle w:val="normaltextrun"/>
          <w:rFonts w:ascii="Calibri" w:hAnsi="Calibri" w:cs="Calibri"/>
        </w:rPr>
      </w:pPr>
      <w:r w:rsidRPr="26617742">
        <w:rPr>
          <w:rStyle w:val="normaltextrun"/>
          <w:rFonts w:ascii="Calibri" w:hAnsi="Calibri" w:cs="Calibri"/>
        </w:rPr>
        <w:t xml:space="preserve">In conclusion, EFPIA welcomes the potential benefits of harmonization offered by the draft Regulation and calls on policy makers to ensure the final version addresses the remaining issues highlighted, notably, clearer delineation of </w:t>
      </w:r>
      <w:proofErr w:type="spellStart"/>
      <w:r w:rsidRPr="26617742">
        <w:rPr>
          <w:rStyle w:val="normaltextrun"/>
          <w:rFonts w:ascii="Calibri" w:hAnsi="Calibri" w:cs="Calibri"/>
        </w:rPr>
        <w:t>SoHO</w:t>
      </w:r>
      <w:proofErr w:type="spellEnd"/>
      <w:r w:rsidRPr="26617742">
        <w:rPr>
          <w:rStyle w:val="normaltextrun"/>
          <w:rFonts w:ascii="Calibri" w:hAnsi="Calibri" w:cs="Calibri"/>
        </w:rPr>
        <w:t xml:space="preserve"> and pharmaceutical activities and appropriate definitions for classification at EU level.</w:t>
      </w:r>
    </w:p>
    <w:p w14:paraId="4EEAC1FA" w14:textId="77777777" w:rsidR="000F71AD" w:rsidRPr="000F71AD" w:rsidRDefault="000F71AD" w:rsidP="000F71AD">
      <w:pPr>
        <w:pStyle w:val="paragraph"/>
        <w:spacing w:before="0" w:beforeAutospacing="0" w:after="0" w:afterAutospacing="0"/>
        <w:textAlignment w:val="baseline"/>
        <w:rPr>
          <w:rFonts w:ascii="Calibri" w:hAnsi="Calibri" w:cs="Calibri"/>
        </w:rPr>
      </w:pPr>
    </w:p>
    <w:sectPr w:rsidR="000F71AD" w:rsidRPr="000F71AD" w:rsidSect="00845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D1486" w14:textId="77777777" w:rsidR="00E9445D" w:rsidRDefault="00E9445D" w:rsidP="008E4FEA">
      <w:pPr>
        <w:spacing w:after="0" w:line="240" w:lineRule="auto"/>
      </w:pPr>
      <w:r>
        <w:separator/>
      </w:r>
    </w:p>
  </w:endnote>
  <w:endnote w:type="continuationSeparator" w:id="0">
    <w:p w14:paraId="613ADE8D" w14:textId="77777777" w:rsidR="00E9445D" w:rsidRDefault="00E9445D" w:rsidP="008E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BCB82" w14:textId="77777777" w:rsidR="00E9445D" w:rsidRDefault="00E9445D" w:rsidP="008E4FEA">
      <w:pPr>
        <w:spacing w:after="0" w:line="240" w:lineRule="auto"/>
      </w:pPr>
      <w:r>
        <w:separator/>
      </w:r>
    </w:p>
  </w:footnote>
  <w:footnote w:type="continuationSeparator" w:id="0">
    <w:p w14:paraId="27A2EF9D" w14:textId="77777777" w:rsidR="00E9445D" w:rsidRDefault="00E9445D" w:rsidP="008E4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D"/>
    <w:rsid w:val="000F71AD"/>
    <w:rsid w:val="00214724"/>
    <w:rsid w:val="007775AB"/>
    <w:rsid w:val="00845D47"/>
    <w:rsid w:val="008E4FEA"/>
    <w:rsid w:val="00B73D5E"/>
    <w:rsid w:val="00CC2CE9"/>
    <w:rsid w:val="00E82401"/>
    <w:rsid w:val="00E9445D"/>
    <w:rsid w:val="00F23E86"/>
    <w:rsid w:val="00F92CA0"/>
    <w:rsid w:val="0125B4EE"/>
    <w:rsid w:val="04FE14F6"/>
    <w:rsid w:val="07C94655"/>
    <w:rsid w:val="0C028E8F"/>
    <w:rsid w:val="0C1E7878"/>
    <w:rsid w:val="0EE81D2B"/>
    <w:rsid w:val="1269BC5E"/>
    <w:rsid w:val="15687A12"/>
    <w:rsid w:val="16801742"/>
    <w:rsid w:val="17B56B92"/>
    <w:rsid w:val="17C47B5A"/>
    <w:rsid w:val="1C9AE1D5"/>
    <w:rsid w:val="229CC26F"/>
    <w:rsid w:val="25D78D11"/>
    <w:rsid w:val="25DC853F"/>
    <w:rsid w:val="26617742"/>
    <w:rsid w:val="282DB1B8"/>
    <w:rsid w:val="2B10DF20"/>
    <w:rsid w:val="2C9AAE0E"/>
    <w:rsid w:val="2D409277"/>
    <w:rsid w:val="302B5165"/>
    <w:rsid w:val="3154C151"/>
    <w:rsid w:val="34FB8965"/>
    <w:rsid w:val="37AA30F7"/>
    <w:rsid w:val="393BE697"/>
    <w:rsid w:val="39B50D99"/>
    <w:rsid w:val="3CCAF654"/>
    <w:rsid w:val="3DD130FA"/>
    <w:rsid w:val="40A684E7"/>
    <w:rsid w:val="43FB6DA3"/>
    <w:rsid w:val="45A55FF5"/>
    <w:rsid w:val="4811A15D"/>
    <w:rsid w:val="4B3767EA"/>
    <w:rsid w:val="4EFDF69E"/>
    <w:rsid w:val="51BE3E34"/>
    <w:rsid w:val="52F706CB"/>
    <w:rsid w:val="5473ABCD"/>
    <w:rsid w:val="54EB3A7C"/>
    <w:rsid w:val="59A5DE4C"/>
    <w:rsid w:val="5BF5D3D9"/>
    <w:rsid w:val="5D70310D"/>
    <w:rsid w:val="636063E1"/>
    <w:rsid w:val="66A08F91"/>
    <w:rsid w:val="66E74A1A"/>
    <w:rsid w:val="67EA17BD"/>
    <w:rsid w:val="6BC571D9"/>
    <w:rsid w:val="6D27630D"/>
    <w:rsid w:val="6E4DE4FE"/>
    <w:rsid w:val="72D2A931"/>
    <w:rsid w:val="72F97041"/>
    <w:rsid w:val="737BB55F"/>
    <w:rsid w:val="7449CD42"/>
    <w:rsid w:val="7D232B6D"/>
    <w:rsid w:val="7F110A47"/>
    <w:rsid w:val="7F9E8E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04B73"/>
  <w15:chartTrackingRefBased/>
  <w15:docId w15:val="{4EB3FDE4-3383-4E86-9FCC-33ACBF91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F7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71AD"/>
  </w:style>
  <w:style w:type="character" w:customStyle="1" w:styleId="spellingerror">
    <w:name w:val="spellingerror"/>
    <w:basedOn w:val="DefaultParagraphFont"/>
    <w:rsid w:val="000F71AD"/>
  </w:style>
  <w:style w:type="character" w:customStyle="1" w:styleId="eop">
    <w:name w:val="eop"/>
    <w:basedOn w:val="DefaultParagraphFont"/>
    <w:rsid w:val="000F71AD"/>
  </w:style>
  <w:style w:type="character" w:customStyle="1" w:styleId="contextualspellingandgrammarerror">
    <w:name w:val="contextualspellingandgrammarerror"/>
    <w:basedOn w:val="DefaultParagraphFont"/>
    <w:rsid w:val="000F71AD"/>
  </w:style>
  <w:style w:type="character" w:customStyle="1" w:styleId="scxw107312616">
    <w:name w:val="scxw107312616"/>
    <w:basedOn w:val="DefaultParagraphFont"/>
    <w:rsid w:val="000F71AD"/>
  </w:style>
  <w:style w:type="paragraph" w:styleId="Revision">
    <w:name w:val="Revision"/>
    <w:hidden/>
    <w:uiPriority w:val="99"/>
    <w:semiHidden/>
    <w:rsid w:val="007775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34300">
      <w:bodyDiv w:val="1"/>
      <w:marLeft w:val="0"/>
      <w:marRight w:val="0"/>
      <w:marTop w:val="0"/>
      <w:marBottom w:val="0"/>
      <w:divBdr>
        <w:top w:val="none" w:sz="0" w:space="0" w:color="auto"/>
        <w:left w:val="none" w:sz="0" w:space="0" w:color="auto"/>
        <w:bottom w:val="none" w:sz="0" w:space="0" w:color="auto"/>
        <w:right w:val="none" w:sz="0" w:space="0" w:color="auto"/>
      </w:divBdr>
    </w:div>
    <w:div w:id="510684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1610">
          <w:marLeft w:val="0"/>
          <w:marRight w:val="0"/>
          <w:marTop w:val="0"/>
          <w:marBottom w:val="0"/>
          <w:divBdr>
            <w:top w:val="none" w:sz="0" w:space="0" w:color="auto"/>
            <w:left w:val="none" w:sz="0" w:space="0" w:color="auto"/>
            <w:bottom w:val="none" w:sz="0" w:space="0" w:color="auto"/>
            <w:right w:val="none" w:sz="0" w:space="0" w:color="auto"/>
          </w:divBdr>
        </w:div>
        <w:div w:id="339087479">
          <w:marLeft w:val="0"/>
          <w:marRight w:val="0"/>
          <w:marTop w:val="0"/>
          <w:marBottom w:val="0"/>
          <w:divBdr>
            <w:top w:val="none" w:sz="0" w:space="0" w:color="auto"/>
            <w:left w:val="none" w:sz="0" w:space="0" w:color="auto"/>
            <w:bottom w:val="none" w:sz="0" w:space="0" w:color="auto"/>
            <w:right w:val="none" w:sz="0" w:space="0" w:color="auto"/>
          </w:divBdr>
        </w:div>
        <w:div w:id="997802818">
          <w:marLeft w:val="0"/>
          <w:marRight w:val="0"/>
          <w:marTop w:val="0"/>
          <w:marBottom w:val="0"/>
          <w:divBdr>
            <w:top w:val="none" w:sz="0" w:space="0" w:color="auto"/>
            <w:left w:val="none" w:sz="0" w:space="0" w:color="auto"/>
            <w:bottom w:val="none" w:sz="0" w:space="0" w:color="auto"/>
            <w:right w:val="none" w:sz="0" w:space="0" w:color="auto"/>
          </w:divBdr>
        </w:div>
        <w:div w:id="1534688183">
          <w:marLeft w:val="0"/>
          <w:marRight w:val="0"/>
          <w:marTop w:val="0"/>
          <w:marBottom w:val="0"/>
          <w:divBdr>
            <w:top w:val="none" w:sz="0" w:space="0" w:color="auto"/>
            <w:left w:val="none" w:sz="0" w:space="0" w:color="auto"/>
            <w:bottom w:val="none" w:sz="0" w:space="0" w:color="auto"/>
            <w:right w:val="none" w:sz="0" w:space="0" w:color="auto"/>
          </w:divBdr>
        </w:div>
        <w:div w:id="949625196">
          <w:marLeft w:val="0"/>
          <w:marRight w:val="0"/>
          <w:marTop w:val="0"/>
          <w:marBottom w:val="0"/>
          <w:divBdr>
            <w:top w:val="none" w:sz="0" w:space="0" w:color="auto"/>
            <w:left w:val="none" w:sz="0" w:space="0" w:color="auto"/>
            <w:bottom w:val="none" w:sz="0" w:space="0" w:color="auto"/>
            <w:right w:val="none" w:sz="0" w:space="0" w:color="auto"/>
          </w:divBdr>
        </w:div>
        <w:div w:id="1209756259">
          <w:marLeft w:val="0"/>
          <w:marRight w:val="0"/>
          <w:marTop w:val="0"/>
          <w:marBottom w:val="0"/>
          <w:divBdr>
            <w:top w:val="none" w:sz="0" w:space="0" w:color="auto"/>
            <w:left w:val="none" w:sz="0" w:space="0" w:color="auto"/>
            <w:bottom w:val="none" w:sz="0" w:space="0" w:color="auto"/>
            <w:right w:val="none" w:sz="0" w:space="0" w:color="auto"/>
          </w:divBdr>
        </w:div>
        <w:div w:id="1955556960">
          <w:marLeft w:val="0"/>
          <w:marRight w:val="0"/>
          <w:marTop w:val="0"/>
          <w:marBottom w:val="0"/>
          <w:divBdr>
            <w:top w:val="none" w:sz="0" w:space="0" w:color="auto"/>
            <w:left w:val="none" w:sz="0" w:space="0" w:color="auto"/>
            <w:bottom w:val="none" w:sz="0" w:space="0" w:color="auto"/>
            <w:right w:val="none" w:sz="0" w:space="0" w:color="auto"/>
          </w:divBdr>
        </w:div>
        <w:div w:id="298346377">
          <w:marLeft w:val="0"/>
          <w:marRight w:val="0"/>
          <w:marTop w:val="0"/>
          <w:marBottom w:val="0"/>
          <w:divBdr>
            <w:top w:val="none" w:sz="0" w:space="0" w:color="auto"/>
            <w:left w:val="none" w:sz="0" w:space="0" w:color="auto"/>
            <w:bottom w:val="none" w:sz="0" w:space="0" w:color="auto"/>
            <w:right w:val="none" w:sz="0" w:space="0" w:color="auto"/>
          </w:divBdr>
        </w:div>
        <w:div w:id="607666655">
          <w:marLeft w:val="0"/>
          <w:marRight w:val="0"/>
          <w:marTop w:val="0"/>
          <w:marBottom w:val="0"/>
          <w:divBdr>
            <w:top w:val="none" w:sz="0" w:space="0" w:color="auto"/>
            <w:left w:val="none" w:sz="0" w:space="0" w:color="auto"/>
            <w:bottom w:val="none" w:sz="0" w:space="0" w:color="auto"/>
            <w:right w:val="none" w:sz="0" w:space="0" w:color="auto"/>
          </w:divBdr>
        </w:div>
        <w:div w:id="774639174">
          <w:marLeft w:val="0"/>
          <w:marRight w:val="0"/>
          <w:marTop w:val="0"/>
          <w:marBottom w:val="0"/>
          <w:divBdr>
            <w:top w:val="none" w:sz="0" w:space="0" w:color="auto"/>
            <w:left w:val="none" w:sz="0" w:space="0" w:color="auto"/>
            <w:bottom w:val="none" w:sz="0" w:space="0" w:color="auto"/>
            <w:right w:val="none" w:sz="0" w:space="0" w:color="auto"/>
          </w:divBdr>
        </w:div>
      </w:divsChild>
    </w:div>
    <w:div w:id="813331177">
      <w:bodyDiv w:val="1"/>
      <w:marLeft w:val="0"/>
      <w:marRight w:val="0"/>
      <w:marTop w:val="0"/>
      <w:marBottom w:val="0"/>
      <w:divBdr>
        <w:top w:val="none" w:sz="0" w:space="0" w:color="auto"/>
        <w:left w:val="none" w:sz="0" w:space="0" w:color="auto"/>
        <w:bottom w:val="none" w:sz="0" w:space="0" w:color="auto"/>
        <w:right w:val="none" w:sz="0" w:space="0" w:color="auto"/>
      </w:divBdr>
      <w:divsChild>
        <w:div w:id="1269267855">
          <w:marLeft w:val="0"/>
          <w:marRight w:val="0"/>
          <w:marTop w:val="0"/>
          <w:marBottom w:val="0"/>
          <w:divBdr>
            <w:top w:val="none" w:sz="0" w:space="0" w:color="auto"/>
            <w:left w:val="none" w:sz="0" w:space="0" w:color="auto"/>
            <w:bottom w:val="none" w:sz="0" w:space="0" w:color="auto"/>
            <w:right w:val="none" w:sz="0" w:space="0" w:color="auto"/>
          </w:divBdr>
        </w:div>
        <w:div w:id="377364269">
          <w:marLeft w:val="0"/>
          <w:marRight w:val="0"/>
          <w:marTop w:val="0"/>
          <w:marBottom w:val="0"/>
          <w:divBdr>
            <w:top w:val="none" w:sz="0" w:space="0" w:color="auto"/>
            <w:left w:val="none" w:sz="0" w:space="0" w:color="auto"/>
            <w:bottom w:val="none" w:sz="0" w:space="0" w:color="auto"/>
            <w:right w:val="none" w:sz="0" w:space="0" w:color="auto"/>
          </w:divBdr>
        </w:div>
        <w:div w:id="61216443">
          <w:marLeft w:val="0"/>
          <w:marRight w:val="0"/>
          <w:marTop w:val="0"/>
          <w:marBottom w:val="0"/>
          <w:divBdr>
            <w:top w:val="none" w:sz="0" w:space="0" w:color="auto"/>
            <w:left w:val="none" w:sz="0" w:space="0" w:color="auto"/>
            <w:bottom w:val="none" w:sz="0" w:space="0" w:color="auto"/>
            <w:right w:val="none" w:sz="0" w:space="0" w:color="auto"/>
          </w:divBdr>
        </w:div>
        <w:div w:id="164174335">
          <w:marLeft w:val="0"/>
          <w:marRight w:val="0"/>
          <w:marTop w:val="0"/>
          <w:marBottom w:val="0"/>
          <w:divBdr>
            <w:top w:val="none" w:sz="0" w:space="0" w:color="auto"/>
            <w:left w:val="none" w:sz="0" w:space="0" w:color="auto"/>
            <w:bottom w:val="none" w:sz="0" w:space="0" w:color="auto"/>
            <w:right w:val="none" w:sz="0" w:space="0" w:color="auto"/>
          </w:divBdr>
        </w:div>
        <w:div w:id="1242131957">
          <w:marLeft w:val="0"/>
          <w:marRight w:val="0"/>
          <w:marTop w:val="0"/>
          <w:marBottom w:val="0"/>
          <w:divBdr>
            <w:top w:val="none" w:sz="0" w:space="0" w:color="auto"/>
            <w:left w:val="none" w:sz="0" w:space="0" w:color="auto"/>
            <w:bottom w:val="none" w:sz="0" w:space="0" w:color="auto"/>
            <w:right w:val="none" w:sz="0" w:space="0" w:color="auto"/>
          </w:divBdr>
        </w:div>
        <w:div w:id="2021277422">
          <w:marLeft w:val="0"/>
          <w:marRight w:val="0"/>
          <w:marTop w:val="0"/>
          <w:marBottom w:val="0"/>
          <w:divBdr>
            <w:top w:val="none" w:sz="0" w:space="0" w:color="auto"/>
            <w:left w:val="none" w:sz="0" w:space="0" w:color="auto"/>
            <w:bottom w:val="none" w:sz="0" w:space="0" w:color="auto"/>
            <w:right w:val="none" w:sz="0" w:space="0" w:color="auto"/>
          </w:divBdr>
        </w:div>
        <w:div w:id="1542551779">
          <w:marLeft w:val="0"/>
          <w:marRight w:val="0"/>
          <w:marTop w:val="0"/>
          <w:marBottom w:val="0"/>
          <w:divBdr>
            <w:top w:val="none" w:sz="0" w:space="0" w:color="auto"/>
            <w:left w:val="none" w:sz="0" w:space="0" w:color="auto"/>
            <w:bottom w:val="none" w:sz="0" w:space="0" w:color="auto"/>
            <w:right w:val="none" w:sz="0" w:space="0" w:color="auto"/>
          </w:divBdr>
        </w:div>
        <w:div w:id="1484271643">
          <w:marLeft w:val="0"/>
          <w:marRight w:val="0"/>
          <w:marTop w:val="0"/>
          <w:marBottom w:val="0"/>
          <w:divBdr>
            <w:top w:val="none" w:sz="0" w:space="0" w:color="auto"/>
            <w:left w:val="none" w:sz="0" w:space="0" w:color="auto"/>
            <w:bottom w:val="none" w:sz="0" w:space="0" w:color="auto"/>
            <w:right w:val="none" w:sz="0" w:space="0" w:color="auto"/>
          </w:divBdr>
        </w:div>
        <w:div w:id="615983483">
          <w:marLeft w:val="0"/>
          <w:marRight w:val="0"/>
          <w:marTop w:val="0"/>
          <w:marBottom w:val="0"/>
          <w:divBdr>
            <w:top w:val="none" w:sz="0" w:space="0" w:color="auto"/>
            <w:left w:val="none" w:sz="0" w:space="0" w:color="auto"/>
            <w:bottom w:val="none" w:sz="0" w:space="0" w:color="auto"/>
            <w:right w:val="none" w:sz="0" w:space="0" w:color="auto"/>
          </w:divBdr>
        </w:div>
        <w:div w:id="1700011101">
          <w:marLeft w:val="0"/>
          <w:marRight w:val="0"/>
          <w:marTop w:val="0"/>
          <w:marBottom w:val="0"/>
          <w:divBdr>
            <w:top w:val="none" w:sz="0" w:space="0" w:color="auto"/>
            <w:left w:val="none" w:sz="0" w:space="0" w:color="auto"/>
            <w:bottom w:val="none" w:sz="0" w:space="0" w:color="auto"/>
            <w:right w:val="none" w:sz="0" w:space="0" w:color="auto"/>
          </w:divBdr>
        </w:div>
      </w:divsChild>
    </w:div>
    <w:div w:id="1210145166">
      <w:bodyDiv w:val="1"/>
      <w:marLeft w:val="0"/>
      <w:marRight w:val="0"/>
      <w:marTop w:val="0"/>
      <w:marBottom w:val="0"/>
      <w:divBdr>
        <w:top w:val="none" w:sz="0" w:space="0" w:color="auto"/>
        <w:left w:val="none" w:sz="0" w:space="0" w:color="auto"/>
        <w:bottom w:val="none" w:sz="0" w:space="0" w:color="auto"/>
        <w:right w:val="none" w:sz="0" w:space="0" w:color="auto"/>
      </w:divBdr>
      <w:divsChild>
        <w:div w:id="1153452633">
          <w:marLeft w:val="0"/>
          <w:marRight w:val="0"/>
          <w:marTop w:val="0"/>
          <w:marBottom w:val="0"/>
          <w:divBdr>
            <w:top w:val="none" w:sz="0" w:space="0" w:color="auto"/>
            <w:left w:val="none" w:sz="0" w:space="0" w:color="auto"/>
            <w:bottom w:val="none" w:sz="0" w:space="0" w:color="auto"/>
            <w:right w:val="none" w:sz="0" w:space="0" w:color="auto"/>
          </w:divBdr>
        </w:div>
        <w:div w:id="1564675835">
          <w:marLeft w:val="0"/>
          <w:marRight w:val="0"/>
          <w:marTop w:val="0"/>
          <w:marBottom w:val="0"/>
          <w:divBdr>
            <w:top w:val="none" w:sz="0" w:space="0" w:color="auto"/>
            <w:left w:val="none" w:sz="0" w:space="0" w:color="auto"/>
            <w:bottom w:val="none" w:sz="0" w:space="0" w:color="auto"/>
            <w:right w:val="none" w:sz="0" w:space="0" w:color="auto"/>
          </w:divBdr>
        </w:div>
        <w:div w:id="1218859954">
          <w:marLeft w:val="0"/>
          <w:marRight w:val="0"/>
          <w:marTop w:val="0"/>
          <w:marBottom w:val="0"/>
          <w:divBdr>
            <w:top w:val="none" w:sz="0" w:space="0" w:color="auto"/>
            <w:left w:val="none" w:sz="0" w:space="0" w:color="auto"/>
            <w:bottom w:val="none" w:sz="0" w:space="0" w:color="auto"/>
            <w:right w:val="none" w:sz="0" w:space="0" w:color="auto"/>
          </w:divBdr>
        </w:div>
        <w:div w:id="1929074219">
          <w:marLeft w:val="0"/>
          <w:marRight w:val="0"/>
          <w:marTop w:val="0"/>
          <w:marBottom w:val="0"/>
          <w:divBdr>
            <w:top w:val="none" w:sz="0" w:space="0" w:color="auto"/>
            <w:left w:val="none" w:sz="0" w:space="0" w:color="auto"/>
            <w:bottom w:val="none" w:sz="0" w:space="0" w:color="auto"/>
            <w:right w:val="none" w:sz="0" w:space="0" w:color="auto"/>
          </w:divBdr>
        </w:div>
        <w:div w:id="1085106107">
          <w:marLeft w:val="0"/>
          <w:marRight w:val="0"/>
          <w:marTop w:val="0"/>
          <w:marBottom w:val="0"/>
          <w:divBdr>
            <w:top w:val="none" w:sz="0" w:space="0" w:color="auto"/>
            <w:left w:val="none" w:sz="0" w:space="0" w:color="auto"/>
            <w:bottom w:val="none" w:sz="0" w:space="0" w:color="auto"/>
            <w:right w:val="none" w:sz="0" w:space="0" w:color="auto"/>
          </w:divBdr>
        </w:div>
        <w:div w:id="202861859">
          <w:marLeft w:val="0"/>
          <w:marRight w:val="0"/>
          <w:marTop w:val="0"/>
          <w:marBottom w:val="0"/>
          <w:divBdr>
            <w:top w:val="none" w:sz="0" w:space="0" w:color="auto"/>
            <w:left w:val="none" w:sz="0" w:space="0" w:color="auto"/>
            <w:bottom w:val="none" w:sz="0" w:space="0" w:color="auto"/>
            <w:right w:val="none" w:sz="0" w:space="0" w:color="auto"/>
          </w:divBdr>
        </w:div>
        <w:div w:id="159662210">
          <w:marLeft w:val="0"/>
          <w:marRight w:val="0"/>
          <w:marTop w:val="0"/>
          <w:marBottom w:val="0"/>
          <w:divBdr>
            <w:top w:val="none" w:sz="0" w:space="0" w:color="auto"/>
            <w:left w:val="none" w:sz="0" w:space="0" w:color="auto"/>
            <w:bottom w:val="none" w:sz="0" w:space="0" w:color="auto"/>
            <w:right w:val="none" w:sz="0" w:space="0" w:color="auto"/>
          </w:divBdr>
        </w:div>
        <w:div w:id="1327779964">
          <w:marLeft w:val="0"/>
          <w:marRight w:val="0"/>
          <w:marTop w:val="0"/>
          <w:marBottom w:val="0"/>
          <w:divBdr>
            <w:top w:val="none" w:sz="0" w:space="0" w:color="auto"/>
            <w:left w:val="none" w:sz="0" w:space="0" w:color="auto"/>
            <w:bottom w:val="none" w:sz="0" w:space="0" w:color="auto"/>
            <w:right w:val="none" w:sz="0" w:space="0" w:color="auto"/>
          </w:divBdr>
        </w:div>
        <w:div w:id="1275210002">
          <w:marLeft w:val="0"/>
          <w:marRight w:val="0"/>
          <w:marTop w:val="0"/>
          <w:marBottom w:val="0"/>
          <w:divBdr>
            <w:top w:val="none" w:sz="0" w:space="0" w:color="auto"/>
            <w:left w:val="none" w:sz="0" w:space="0" w:color="auto"/>
            <w:bottom w:val="none" w:sz="0" w:space="0" w:color="auto"/>
            <w:right w:val="none" w:sz="0" w:space="0" w:color="auto"/>
          </w:divBdr>
        </w:div>
        <w:div w:id="68806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Borrmann-Smits</dc:creator>
  <cp:keywords/>
  <dc:description/>
  <cp:lastModifiedBy>Microsoft Office User</cp:lastModifiedBy>
  <cp:revision>3</cp:revision>
  <dcterms:created xsi:type="dcterms:W3CDTF">2022-09-08T14:15:00Z</dcterms:created>
  <dcterms:modified xsi:type="dcterms:W3CDTF">2022-09-13T07:50:00Z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2022-08-26T07:26:01Z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30ea9801-a205-4b9f-a237-1b8f3c68d7dc</vt:lpwstr>
  </property>
  <property fmtid="{D5CDD505-2E9C-101B-9397-08002B2CF9AE}" pid="8" name="MSIP_Label_7f850223-87a8-40c3-9eb2-432606efca2a_ContentBits">
    <vt:lpwstr>0</vt:lpwstr>
  </property>
</Properties>
</file>