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41172" w14:textId="239E8D00" w:rsidR="005D6621" w:rsidRDefault="00355A89">
      <w:pPr>
        <w:pStyle w:val="RefAgency"/>
        <w:tabs>
          <w:tab w:val="left" w:pos="1277"/>
        </w:tabs>
      </w:pPr>
      <w:bookmarkStart w:id="0" w:name="_GoBack"/>
      <w:bookmarkEnd w:id="0"/>
      <w:r>
        <w:t>18</w:t>
      </w:r>
      <w:r w:rsidR="003B2419">
        <w:t xml:space="preserve"> Dec 2020</w:t>
      </w:r>
    </w:p>
    <w:p w14:paraId="497E28EA" w14:textId="77777777" w:rsidR="005D6621" w:rsidRDefault="005D6621">
      <w:pPr>
        <w:pStyle w:val="RefAgency"/>
        <w:tabs>
          <w:tab w:val="left" w:pos="1277"/>
        </w:tabs>
      </w:pPr>
    </w:p>
    <w:p w14:paraId="07F4856F" w14:textId="77777777" w:rsidR="005D6621" w:rsidRDefault="005D6621">
      <w:pPr>
        <w:pStyle w:val="RefAgency"/>
        <w:tabs>
          <w:tab w:val="left" w:pos="1277"/>
        </w:tabs>
      </w:pPr>
    </w:p>
    <w:p w14:paraId="4AAFA06E" w14:textId="77777777" w:rsidR="005D6621" w:rsidRDefault="005D6621">
      <w:pPr>
        <w:pStyle w:val="DoctitleAgency"/>
      </w:pPr>
      <w:bookmarkStart w:id="1" w:name="Head"/>
      <w:bookmarkEnd w:id="1"/>
      <w:r>
        <w:t xml:space="preserve">Submission of comments on </w:t>
      </w:r>
      <w:r w:rsidR="003D650F" w:rsidRPr="003D650F">
        <w:rPr>
          <w:i/>
        </w:rPr>
        <w:t xml:space="preserve">ICH </w:t>
      </w:r>
      <w:r w:rsidR="000442B1">
        <w:rPr>
          <w:i/>
        </w:rPr>
        <w:t>Q3D (R2) Step 2b on elemental impurities – EMA/CHMP/353369/2013</w:t>
      </w:r>
    </w:p>
    <w:p w14:paraId="4EAA8323" w14:textId="77777777" w:rsidR="005D6621" w:rsidRDefault="005D6621">
      <w:pPr>
        <w:pStyle w:val="DocsubtitleAgency"/>
      </w:pPr>
    </w:p>
    <w:p w14:paraId="7E75B41F" w14:textId="77777777" w:rsidR="005D6621" w:rsidRDefault="005D6621">
      <w:pPr>
        <w:pStyle w:val="No-TOCheadingAgency"/>
      </w:pPr>
      <w:r>
        <w:t>Comments from:</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9413"/>
      </w:tblGrid>
      <w:tr w:rsidR="005D6621" w14:paraId="0A9074C6" w14:textId="77777777">
        <w:trPr>
          <w:tblHeader/>
        </w:trPr>
        <w:tc>
          <w:tcPr>
            <w:tcW w:w="5000" w:type="pct"/>
            <w:tcBorders>
              <w:top w:val="nil"/>
              <w:left w:val="nil"/>
              <w:bottom w:val="nil"/>
              <w:right w:val="nil"/>
            </w:tcBorders>
            <w:shd w:val="clear" w:color="auto" w:fill="003399"/>
          </w:tcPr>
          <w:p w14:paraId="048C045F" w14:textId="77777777" w:rsidR="005D6621" w:rsidRDefault="005D6621">
            <w:pPr>
              <w:pStyle w:val="TableheadingrowsAgency"/>
              <w:rPr>
                <w:b w:val="0"/>
              </w:rPr>
            </w:pPr>
            <w:r>
              <w:rPr>
                <w:b w:val="0"/>
              </w:rPr>
              <w:t>Name of organisation or individual</w:t>
            </w:r>
          </w:p>
        </w:tc>
      </w:tr>
      <w:tr w:rsidR="005D6621" w14:paraId="43647F07" w14:textId="77777777">
        <w:tc>
          <w:tcPr>
            <w:tcW w:w="5000" w:type="pct"/>
            <w:shd w:val="clear" w:color="auto" w:fill="E1E3F2"/>
          </w:tcPr>
          <w:p w14:paraId="62DC959C" w14:textId="3BF5E0E0" w:rsidR="005D6621" w:rsidRPr="00A42B19" w:rsidRDefault="00595782" w:rsidP="00F6702D">
            <w:pPr>
              <w:pStyle w:val="TabletextrowsAgency"/>
              <w:rPr>
                <w:rFonts w:ascii="Times New Roman" w:hAnsi="Times New Roman"/>
                <w:sz w:val="22"/>
                <w:szCs w:val="22"/>
              </w:rPr>
            </w:pPr>
            <w:r>
              <w:t>EFPIA</w:t>
            </w:r>
            <w:r w:rsidR="0008530E">
              <w:t xml:space="preserve"> </w:t>
            </w:r>
          </w:p>
        </w:tc>
      </w:tr>
    </w:tbl>
    <w:p w14:paraId="016A04F7" w14:textId="77777777" w:rsidR="005D6621" w:rsidRDefault="005D6621">
      <w:pPr>
        <w:pStyle w:val="BodytextAgency"/>
      </w:pPr>
    </w:p>
    <w:p w14:paraId="5B4D2DE7" w14:textId="77777777" w:rsidR="005D6621" w:rsidRDefault="005D6621">
      <w:pPr>
        <w:pStyle w:val="BodytextAgency"/>
        <w:rPr>
          <w:i/>
        </w:rPr>
      </w:pPr>
      <w:r>
        <w:rPr>
          <w:i/>
        </w:rPr>
        <w:t>Please note that these comments and the identity of the sender will be published unless a specific justified objection is received.</w:t>
      </w:r>
    </w:p>
    <w:p w14:paraId="3AE6DD46" w14:textId="77777777" w:rsidR="005D6621" w:rsidRDefault="005D6621">
      <w:pPr>
        <w:pStyle w:val="BodytextAgency"/>
        <w:rPr>
          <w:i/>
        </w:rPr>
      </w:pPr>
      <w:r>
        <w:rPr>
          <w:i/>
        </w:rPr>
        <w:t>When completed, this form should be sent to the European Medicines Agency electronically, in Word format (not PDF).</w:t>
      </w:r>
    </w:p>
    <w:p w14:paraId="45C38A04" w14:textId="77777777" w:rsidR="005D6621" w:rsidRDefault="005D6621">
      <w:pPr>
        <w:pStyle w:val="BodytextAgency"/>
      </w:pPr>
    </w:p>
    <w:p w14:paraId="79928F25" w14:textId="77777777" w:rsidR="005D6621" w:rsidRDefault="005D6621">
      <w:pPr>
        <w:pStyle w:val="BodytextAgency"/>
      </w:pPr>
    </w:p>
    <w:p w14:paraId="068A7A87" w14:textId="77777777" w:rsidR="005D6621" w:rsidRDefault="005D6621">
      <w:pPr>
        <w:pStyle w:val="BodytextAgency"/>
        <w:sectPr w:rsidR="005D6621">
          <w:footerReference w:type="default" r:id="rId10"/>
          <w:headerReference w:type="first" r:id="rId11"/>
          <w:footerReference w:type="first" r:id="rId12"/>
          <w:pgSz w:w="11907" w:h="16839" w:code="9"/>
          <w:pgMar w:top="1418" w:right="1247" w:bottom="1418" w:left="1247" w:header="284" w:footer="680" w:gutter="0"/>
          <w:cols w:space="720"/>
          <w:titlePg/>
          <w:docGrid w:linePitch="326"/>
        </w:sectPr>
      </w:pPr>
    </w:p>
    <w:p w14:paraId="098B38BB" w14:textId="77777777" w:rsidR="005D6621" w:rsidRDefault="005D6621">
      <w:pPr>
        <w:pStyle w:val="Heading1Agency"/>
      </w:pPr>
      <w:r>
        <w:lastRenderedPageBreak/>
        <w:t>General comments</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2471"/>
        <w:gridCol w:w="5359"/>
        <w:gridCol w:w="6740"/>
      </w:tblGrid>
      <w:tr w:rsidR="005D6621" w14:paraId="3F83552C" w14:textId="77777777">
        <w:trPr>
          <w:tblHeader/>
        </w:trPr>
        <w:tc>
          <w:tcPr>
            <w:tcW w:w="848" w:type="pct"/>
            <w:tcBorders>
              <w:top w:val="nil"/>
              <w:left w:val="nil"/>
              <w:bottom w:val="nil"/>
              <w:right w:val="nil"/>
            </w:tcBorders>
            <w:shd w:val="clear" w:color="auto" w:fill="003399"/>
          </w:tcPr>
          <w:p w14:paraId="3D0C0D70" w14:textId="77777777" w:rsidR="005D6621" w:rsidRDefault="005D6621">
            <w:pPr>
              <w:pStyle w:val="TableheadingrowsAgency"/>
              <w:rPr>
                <w:b w:val="0"/>
                <w:bCs/>
              </w:rPr>
            </w:pPr>
            <w:r>
              <w:rPr>
                <w:b w:val="0"/>
                <w:bCs/>
              </w:rPr>
              <w:t>Stakeholder number</w:t>
            </w:r>
          </w:p>
          <w:p w14:paraId="126C61AC" w14:textId="77777777" w:rsidR="005D6621" w:rsidRDefault="005D6621">
            <w:pPr>
              <w:pStyle w:val="TableheadingrowsAgency"/>
              <w:rPr>
                <w:b w:val="0"/>
                <w:bCs/>
                <w:i/>
                <w:color w:val="339966"/>
              </w:rPr>
            </w:pPr>
            <w:r>
              <w:rPr>
                <w:i/>
                <w:color w:val="339966"/>
              </w:rPr>
              <w:t>(To be completed by the Agency)</w:t>
            </w:r>
          </w:p>
        </w:tc>
        <w:tc>
          <w:tcPr>
            <w:tcW w:w="1839" w:type="pct"/>
            <w:tcBorders>
              <w:top w:val="nil"/>
              <w:left w:val="nil"/>
              <w:bottom w:val="nil"/>
              <w:right w:val="nil"/>
            </w:tcBorders>
            <w:shd w:val="clear" w:color="auto" w:fill="003399"/>
          </w:tcPr>
          <w:p w14:paraId="62EBD11C" w14:textId="77777777" w:rsidR="005D6621" w:rsidRDefault="005D6621">
            <w:pPr>
              <w:pStyle w:val="TableheadingrowsAgency"/>
              <w:rPr>
                <w:b w:val="0"/>
                <w:bCs/>
              </w:rPr>
            </w:pPr>
            <w:r>
              <w:rPr>
                <w:b w:val="0"/>
                <w:bCs/>
              </w:rPr>
              <w:t>General comment (if any)</w:t>
            </w:r>
          </w:p>
        </w:tc>
        <w:tc>
          <w:tcPr>
            <w:tcW w:w="2313" w:type="pct"/>
            <w:tcBorders>
              <w:top w:val="nil"/>
              <w:left w:val="nil"/>
              <w:bottom w:val="nil"/>
              <w:right w:val="nil"/>
            </w:tcBorders>
            <w:shd w:val="clear" w:color="auto" w:fill="003399"/>
          </w:tcPr>
          <w:p w14:paraId="0BC1FFE8" w14:textId="77777777" w:rsidR="005D6621" w:rsidRDefault="005D6621">
            <w:pPr>
              <w:pStyle w:val="TableheadingrowsAgency"/>
              <w:rPr>
                <w:b w:val="0"/>
                <w:bCs/>
              </w:rPr>
            </w:pPr>
            <w:r>
              <w:rPr>
                <w:b w:val="0"/>
                <w:bCs/>
              </w:rPr>
              <w:t>Outcome (if applicable)</w:t>
            </w:r>
          </w:p>
          <w:p w14:paraId="2C832DDD" w14:textId="77777777" w:rsidR="005D6621" w:rsidRDefault="005D6621">
            <w:pPr>
              <w:pStyle w:val="TableheadingrowsAgency"/>
              <w:rPr>
                <w:b w:val="0"/>
                <w:bCs/>
                <w:i/>
                <w:color w:val="339966"/>
              </w:rPr>
            </w:pPr>
            <w:r>
              <w:rPr>
                <w:i/>
                <w:color w:val="339966"/>
              </w:rPr>
              <w:t>(To be completed by the Agency)</w:t>
            </w:r>
          </w:p>
        </w:tc>
      </w:tr>
      <w:tr w:rsidR="005D6621" w14:paraId="6A1AD7BF" w14:textId="77777777">
        <w:tc>
          <w:tcPr>
            <w:tcW w:w="848" w:type="pct"/>
            <w:shd w:val="clear" w:color="auto" w:fill="E1E3F2"/>
          </w:tcPr>
          <w:p w14:paraId="2C674351" w14:textId="77777777" w:rsidR="005D6621" w:rsidRDefault="005D6621">
            <w:pPr>
              <w:pStyle w:val="TabletextrowsAgency"/>
            </w:pPr>
          </w:p>
        </w:tc>
        <w:tc>
          <w:tcPr>
            <w:tcW w:w="1839" w:type="pct"/>
            <w:shd w:val="clear" w:color="auto" w:fill="E1E3F2"/>
          </w:tcPr>
          <w:p w14:paraId="108E3519" w14:textId="4DCC4180" w:rsidR="005D6621" w:rsidRDefault="005D6621">
            <w:pPr>
              <w:pStyle w:val="TabletextrowsAgency"/>
            </w:pPr>
          </w:p>
        </w:tc>
        <w:tc>
          <w:tcPr>
            <w:tcW w:w="2313" w:type="pct"/>
            <w:shd w:val="clear" w:color="auto" w:fill="E1E3F2"/>
          </w:tcPr>
          <w:p w14:paraId="3A97BC2D" w14:textId="77777777" w:rsidR="005D6621" w:rsidRDefault="005D6621">
            <w:pPr>
              <w:pStyle w:val="TabletextrowsAgency"/>
            </w:pPr>
          </w:p>
        </w:tc>
      </w:tr>
      <w:tr w:rsidR="00BF48D6" w14:paraId="2E2512F9" w14:textId="77777777" w:rsidTr="005C18BB">
        <w:tc>
          <w:tcPr>
            <w:tcW w:w="848" w:type="pct"/>
            <w:shd w:val="clear" w:color="auto" w:fill="E1E3F2"/>
          </w:tcPr>
          <w:p w14:paraId="22D3AC94" w14:textId="77777777" w:rsidR="00BF48D6" w:rsidRDefault="00BF48D6" w:rsidP="005C18BB">
            <w:pPr>
              <w:pStyle w:val="TabletextrowsAgency"/>
            </w:pPr>
          </w:p>
        </w:tc>
        <w:tc>
          <w:tcPr>
            <w:tcW w:w="4152" w:type="pct"/>
            <w:gridSpan w:val="2"/>
            <w:shd w:val="clear" w:color="auto" w:fill="E1E3F2"/>
          </w:tcPr>
          <w:p w14:paraId="63CC42A1" w14:textId="1AFC11CD" w:rsidR="00BF48D6" w:rsidRDefault="00BF48D6" w:rsidP="00494847">
            <w:pPr>
              <w:pStyle w:val="TabletextrowsAgency"/>
            </w:pPr>
            <w:r w:rsidRPr="00494847">
              <w:t xml:space="preserve">The guidance Appendix on cutaneous / transcutaneous limits for elemental impurities is considered to be of </w:t>
            </w:r>
            <w:r w:rsidR="00494847" w:rsidRPr="00494847">
              <w:t xml:space="preserve">significant </w:t>
            </w:r>
            <w:r w:rsidRPr="00494847">
              <w:t xml:space="preserve">value. </w:t>
            </w:r>
            <w:r>
              <w:t xml:space="preserve">  </w:t>
            </w:r>
          </w:p>
        </w:tc>
      </w:tr>
      <w:tr w:rsidR="007B1656" w14:paraId="5645A945" w14:textId="77777777">
        <w:tc>
          <w:tcPr>
            <w:tcW w:w="848" w:type="pct"/>
            <w:shd w:val="clear" w:color="auto" w:fill="E1E3F2"/>
          </w:tcPr>
          <w:p w14:paraId="5F55B74B" w14:textId="77777777" w:rsidR="007B1656" w:rsidRDefault="007B1656">
            <w:pPr>
              <w:pStyle w:val="TabletextrowsAgency"/>
            </w:pPr>
          </w:p>
        </w:tc>
        <w:tc>
          <w:tcPr>
            <w:tcW w:w="1839" w:type="pct"/>
            <w:shd w:val="clear" w:color="auto" w:fill="E1E3F2"/>
          </w:tcPr>
          <w:p w14:paraId="7665941B" w14:textId="77777777" w:rsidR="007B1656" w:rsidRDefault="007B1656">
            <w:pPr>
              <w:pStyle w:val="TabletextrowsAgency"/>
            </w:pPr>
          </w:p>
        </w:tc>
        <w:tc>
          <w:tcPr>
            <w:tcW w:w="2313" w:type="pct"/>
            <w:shd w:val="clear" w:color="auto" w:fill="E1E3F2"/>
          </w:tcPr>
          <w:p w14:paraId="31EFC42C" w14:textId="77777777" w:rsidR="007B1656" w:rsidRDefault="007B1656">
            <w:pPr>
              <w:pStyle w:val="TabletextrowsAgency"/>
            </w:pPr>
          </w:p>
        </w:tc>
      </w:tr>
    </w:tbl>
    <w:p w14:paraId="497B9B60" w14:textId="77777777" w:rsidR="005D6621" w:rsidRDefault="005D6621">
      <w:pPr>
        <w:pStyle w:val="BodytextAgency"/>
      </w:pPr>
    </w:p>
    <w:p w14:paraId="26048D84" w14:textId="77777777" w:rsidR="005D6621" w:rsidRDefault="005D6621">
      <w:pPr>
        <w:pStyle w:val="Heading1Agency"/>
        <w:pageBreakBefore/>
      </w:pPr>
      <w:r>
        <w:lastRenderedPageBreak/>
        <w:t>Specific comments on text</w:t>
      </w:r>
    </w:p>
    <w:tbl>
      <w:tblPr>
        <w:tblW w:w="4767"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1537"/>
        <w:gridCol w:w="2000"/>
        <w:gridCol w:w="4970"/>
        <w:gridCol w:w="5384"/>
      </w:tblGrid>
      <w:tr w:rsidR="00444BCE" w14:paraId="57036071" w14:textId="27DC2A31" w:rsidTr="00C16DCA">
        <w:trPr>
          <w:tblHeader/>
        </w:trPr>
        <w:tc>
          <w:tcPr>
            <w:tcW w:w="553" w:type="pct"/>
            <w:tcBorders>
              <w:top w:val="nil"/>
              <w:left w:val="nil"/>
              <w:bottom w:val="nil"/>
              <w:right w:val="nil"/>
            </w:tcBorders>
            <w:shd w:val="clear" w:color="auto" w:fill="003399"/>
          </w:tcPr>
          <w:p w14:paraId="17B5BA0D" w14:textId="77777777" w:rsidR="00444BCE" w:rsidRDefault="00444BCE">
            <w:pPr>
              <w:pStyle w:val="TableheadingrowsAgency"/>
              <w:rPr>
                <w:b w:val="0"/>
              </w:rPr>
            </w:pPr>
            <w:r>
              <w:rPr>
                <w:b w:val="0"/>
              </w:rPr>
              <w:t>Line number(s) of the relevant text</w:t>
            </w:r>
          </w:p>
          <w:p w14:paraId="31AF47EF" w14:textId="77777777" w:rsidR="00444BCE" w:rsidRDefault="00444BCE">
            <w:pPr>
              <w:pStyle w:val="TableheadingrowsAgency"/>
              <w:rPr>
                <w:b w:val="0"/>
                <w:i/>
                <w:color w:val="339966"/>
              </w:rPr>
            </w:pPr>
            <w:r>
              <w:rPr>
                <w:i/>
                <w:color w:val="339966"/>
              </w:rPr>
              <w:t>(e.g. Lines 20-23)</w:t>
            </w:r>
          </w:p>
        </w:tc>
        <w:tc>
          <w:tcPr>
            <w:tcW w:w="720" w:type="pct"/>
            <w:tcBorders>
              <w:top w:val="nil"/>
              <w:left w:val="nil"/>
              <w:bottom w:val="nil"/>
              <w:right w:val="nil"/>
            </w:tcBorders>
            <w:shd w:val="clear" w:color="auto" w:fill="003399"/>
          </w:tcPr>
          <w:p w14:paraId="2C67730B" w14:textId="77777777" w:rsidR="00444BCE" w:rsidRDefault="00444BCE">
            <w:pPr>
              <w:pStyle w:val="TableheadingrowsAgency"/>
              <w:rPr>
                <w:b w:val="0"/>
              </w:rPr>
            </w:pPr>
            <w:r>
              <w:rPr>
                <w:b w:val="0"/>
              </w:rPr>
              <w:t>Stakeholder number</w:t>
            </w:r>
          </w:p>
          <w:p w14:paraId="17B530F5" w14:textId="77777777" w:rsidR="00444BCE" w:rsidRDefault="00444BCE">
            <w:pPr>
              <w:pStyle w:val="TableheadingrowsAgency"/>
              <w:rPr>
                <w:b w:val="0"/>
              </w:rPr>
            </w:pPr>
            <w:r>
              <w:rPr>
                <w:i/>
                <w:color w:val="339966"/>
              </w:rPr>
              <w:t>(To be completed by the Agency)</w:t>
            </w:r>
          </w:p>
        </w:tc>
        <w:tc>
          <w:tcPr>
            <w:tcW w:w="1789" w:type="pct"/>
            <w:tcBorders>
              <w:top w:val="nil"/>
              <w:left w:val="nil"/>
              <w:bottom w:val="nil"/>
              <w:right w:val="nil"/>
            </w:tcBorders>
            <w:shd w:val="clear" w:color="auto" w:fill="003399"/>
          </w:tcPr>
          <w:p w14:paraId="1D23F72E" w14:textId="77777777" w:rsidR="00444BCE" w:rsidRDefault="00444BCE">
            <w:pPr>
              <w:pStyle w:val="TableheadingrowsAgency"/>
              <w:rPr>
                <w:b w:val="0"/>
              </w:rPr>
            </w:pPr>
            <w:r>
              <w:rPr>
                <w:b w:val="0"/>
              </w:rPr>
              <w:t>Comment and rationale; proposed changes</w:t>
            </w:r>
          </w:p>
          <w:p w14:paraId="07CE60D4" w14:textId="77777777" w:rsidR="00444BCE" w:rsidRDefault="00444BCE">
            <w:pPr>
              <w:pStyle w:val="TableheadingrowsAgency"/>
              <w:rPr>
                <w:b w:val="0"/>
                <w:i/>
                <w:color w:val="339966"/>
              </w:rPr>
            </w:pPr>
            <w:r>
              <w:rPr>
                <w:i/>
                <w:color w:val="339966"/>
              </w:rPr>
              <w:t>(If changes to the wording are suggested, they should be highlighted using 'track changes')</w:t>
            </w:r>
          </w:p>
        </w:tc>
        <w:tc>
          <w:tcPr>
            <w:tcW w:w="1939" w:type="pct"/>
            <w:tcBorders>
              <w:top w:val="nil"/>
              <w:left w:val="nil"/>
              <w:bottom w:val="nil"/>
              <w:right w:val="nil"/>
            </w:tcBorders>
            <w:shd w:val="clear" w:color="auto" w:fill="003399"/>
          </w:tcPr>
          <w:p w14:paraId="13655293" w14:textId="77777777" w:rsidR="00444BCE" w:rsidRDefault="00444BCE">
            <w:pPr>
              <w:pStyle w:val="TableheadingrowsAgency"/>
              <w:rPr>
                <w:b w:val="0"/>
              </w:rPr>
            </w:pPr>
            <w:r>
              <w:rPr>
                <w:b w:val="0"/>
              </w:rPr>
              <w:t>Outcome</w:t>
            </w:r>
          </w:p>
          <w:p w14:paraId="311D95AA" w14:textId="77777777" w:rsidR="00444BCE" w:rsidRDefault="00444BCE">
            <w:pPr>
              <w:pStyle w:val="TableheadingrowsAgency"/>
              <w:rPr>
                <w:b w:val="0"/>
              </w:rPr>
            </w:pPr>
            <w:r>
              <w:rPr>
                <w:i/>
                <w:color w:val="339966"/>
              </w:rPr>
              <w:t>(To be completed by the Agency)</w:t>
            </w:r>
          </w:p>
        </w:tc>
      </w:tr>
      <w:tr w:rsidR="00444BCE" w14:paraId="7C32089E" w14:textId="77777777" w:rsidTr="00C16DCA">
        <w:tc>
          <w:tcPr>
            <w:tcW w:w="553" w:type="pct"/>
            <w:shd w:val="clear" w:color="auto" w:fill="E1E3F2"/>
          </w:tcPr>
          <w:p w14:paraId="2A5873B2" w14:textId="617B0641" w:rsidR="00444BCE" w:rsidRDefault="00444BCE">
            <w:pPr>
              <w:pStyle w:val="TabletextrowsAgency"/>
            </w:pPr>
            <w:r>
              <w:t>13</w:t>
            </w:r>
          </w:p>
        </w:tc>
        <w:tc>
          <w:tcPr>
            <w:tcW w:w="720" w:type="pct"/>
            <w:shd w:val="clear" w:color="auto" w:fill="E1E3F2"/>
          </w:tcPr>
          <w:p w14:paraId="1E5B2E8F" w14:textId="77777777" w:rsidR="00444BCE" w:rsidRDefault="00444BCE">
            <w:pPr>
              <w:pStyle w:val="TabletextrowsAgency"/>
            </w:pPr>
          </w:p>
        </w:tc>
        <w:tc>
          <w:tcPr>
            <w:tcW w:w="1789" w:type="pct"/>
            <w:shd w:val="clear" w:color="auto" w:fill="E1E3F2"/>
          </w:tcPr>
          <w:p w14:paraId="7AF76A77" w14:textId="77777777" w:rsidR="00444BCE" w:rsidRDefault="00444BCE" w:rsidP="00033B96">
            <w:pPr>
              <w:pStyle w:val="TabletextrowsAgency"/>
            </w:pPr>
            <w:r w:rsidRPr="00DF7C48">
              <w:t>Is it possible to add the word “limits” to the header of table A2</w:t>
            </w:r>
            <w:r>
              <w:t>?</w:t>
            </w:r>
          </w:p>
          <w:p w14:paraId="2B15F4F3" w14:textId="78B13099" w:rsidR="00444BCE" w:rsidRDefault="00444BCE" w:rsidP="00033B96">
            <w:pPr>
              <w:pStyle w:val="TabletextrowsAgency"/>
            </w:pPr>
            <w:r w:rsidRPr="00512A93">
              <w:t xml:space="preserve">Permitted Concentration </w:t>
            </w:r>
            <w:r w:rsidRPr="00512A93">
              <w:rPr>
                <w:b/>
                <w:bCs/>
              </w:rPr>
              <w:t>limits</w:t>
            </w:r>
            <w:r w:rsidRPr="00512A93">
              <w:t xml:space="preserve"> of Elemental Impurities for Option 1</w:t>
            </w:r>
          </w:p>
        </w:tc>
        <w:tc>
          <w:tcPr>
            <w:tcW w:w="1939" w:type="pct"/>
            <w:shd w:val="clear" w:color="auto" w:fill="E1E3F2"/>
          </w:tcPr>
          <w:p w14:paraId="0462CF52" w14:textId="77777777" w:rsidR="00444BCE" w:rsidRPr="00E5572A" w:rsidRDefault="00444BCE">
            <w:pPr>
              <w:pStyle w:val="TabletextrowsAgency"/>
              <w:rPr>
                <w:highlight w:val="yellow"/>
              </w:rPr>
            </w:pPr>
          </w:p>
        </w:tc>
      </w:tr>
      <w:tr w:rsidR="00444BCE" w14:paraId="735D96C5" w14:textId="77777777" w:rsidTr="00C16DCA">
        <w:tc>
          <w:tcPr>
            <w:tcW w:w="553" w:type="pct"/>
            <w:shd w:val="clear" w:color="auto" w:fill="E1E3F2"/>
          </w:tcPr>
          <w:p w14:paraId="761045D1" w14:textId="77BE084A" w:rsidR="00444BCE" w:rsidRDefault="00444BCE" w:rsidP="00C15B4A">
            <w:pPr>
              <w:pStyle w:val="TabletextrowsAgency"/>
            </w:pPr>
            <w:r w:rsidRPr="00D74BCF">
              <w:t>Lines 17-18 (Table A.2.2)</w:t>
            </w:r>
          </w:p>
        </w:tc>
        <w:tc>
          <w:tcPr>
            <w:tcW w:w="720" w:type="pct"/>
            <w:shd w:val="clear" w:color="auto" w:fill="E1E3F2"/>
          </w:tcPr>
          <w:p w14:paraId="695360E1" w14:textId="77777777" w:rsidR="00444BCE" w:rsidRDefault="00444BCE" w:rsidP="00C15B4A">
            <w:pPr>
              <w:pStyle w:val="TabletextrowsAgency"/>
            </w:pPr>
          </w:p>
        </w:tc>
        <w:tc>
          <w:tcPr>
            <w:tcW w:w="1789" w:type="pct"/>
            <w:shd w:val="clear" w:color="auto" w:fill="E1E3F2"/>
          </w:tcPr>
          <w:p w14:paraId="3EB87E9D" w14:textId="5050F74B" w:rsidR="00444BCE" w:rsidRPr="00DF7C48" w:rsidRDefault="00444BCE" w:rsidP="00C15B4A">
            <w:pPr>
              <w:pStyle w:val="TabletextrowsAgency"/>
            </w:pPr>
            <w:r w:rsidRPr="00D74BCF">
              <w:t>The application of the rounded PDE values in appendix 2 or the calculated PDE values in appendix 3 could be clarified more clearly in the guideline in general.</w:t>
            </w:r>
          </w:p>
        </w:tc>
        <w:tc>
          <w:tcPr>
            <w:tcW w:w="1939" w:type="pct"/>
            <w:shd w:val="clear" w:color="auto" w:fill="E1E3F2"/>
          </w:tcPr>
          <w:p w14:paraId="46DE35EF" w14:textId="77777777" w:rsidR="00444BCE" w:rsidRPr="00E5572A" w:rsidRDefault="00444BCE" w:rsidP="00C15B4A">
            <w:pPr>
              <w:pStyle w:val="TabletextrowsAgency"/>
              <w:rPr>
                <w:highlight w:val="yellow"/>
              </w:rPr>
            </w:pPr>
          </w:p>
        </w:tc>
      </w:tr>
      <w:tr w:rsidR="00444BCE" w14:paraId="08803322" w14:textId="77777777" w:rsidTr="00C16DCA">
        <w:tc>
          <w:tcPr>
            <w:tcW w:w="553" w:type="pct"/>
            <w:shd w:val="clear" w:color="auto" w:fill="E1E3F2"/>
          </w:tcPr>
          <w:p w14:paraId="60E30AEE" w14:textId="00AE6BEE" w:rsidR="00444BCE" w:rsidRDefault="00444BCE" w:rsidP="00C15B4A">
            <w:pPr>
              <w:pStyle w:val="TabletextrowsAgency"/>
            </w:pPr>
            <w:r>
              <w:t>Lines 46-69</w:t>
            </w:r>
          </w:p>
        </w:tc>
        <w:tc>
          <w:tcPr>
            <w:tcW w:w="720" w:type="pct"/>
            <w:shd w:val="clear" w:color="auto" w:fill="E1E3F2"/>
          </w:tcPr>
          <w:p w14:paraId="01273943" w14:textId="77777777" w:rsidR="00444BCE" w:rsidRDefault="00444BCE" w:rsidP="00C15B4A">
            <w:pPr>
              <w:pStyle w:val="TabletextrowsAgency"/>
            </w:pPr>
          </w:p>
        </w:tc>
        <w:tc>
          <w:tcPr>
            <w:tcW w:w="1789" w:type="pct"/>
            <w:shd w:val="clear" w:color="auto" w:fill="E1E3F2"/>
          </w:tcPr>
          <w:p w14:paraId="58CC68ED" w14:textId="3E6F3AFD" w:rsidR="00444BCE" w:rsidRPr="00426BFE" w:rsidRDefault="00444BCE" w:rsidP="00C15B4A">
            <w:pPr>
              <w:pStyle w:val="TabletextrowsAgency"/>
            </w:pPr>
            <w:r>
              <w:t xml:space="preserve">The oral PDE for gold was derived from a study after intraperitoneal administration. The parenteral PDE was set to be equivalent to the oral PDE based on the point of departure selection for the oral PDE and the high bioavailability after intramuscular administration. However, for derivation of the inhalation PDE it is stated that no data for inhalation or parenteral exposure were available and an additional assessment factor of 100 was applied. The difference in acceptability of route to route extrapolation for the different PDEs appears inconsistent and overly conservative for the inhalation PDE. Furthermore, the mentioned </w:t>
            </w:r>
            <w:r>
              <w:lastRenderedPageBreak/>
              <w:t>potential local tissue toxicity is not substantiated by referenced data.</w:t>
            </w:r>
          </w:p>
        </w:tc>
        <w:tc>
          <w:tcPr>
            <w:tcW w:w="1939" w:type="pct"/>
            <w:shd w:val="clear" w:color="auto" w:fill="E1E3F2"/>
          </w:tcPr>
          <w:p w14:paraId="34E21EAC" w14:textId="77777777" w:rsidR="00444BCE" w:rsidRPr="00E5572A" w:rsidRDefault="00444BCE" w:rsidP="00C15B4A">
            <w:pPr>
              <w:pStyle w:val="TabletextrowsAgency"/>
              <w:rPr>
                <w:highlight w:val="yellow"/>
              </w:rPr>
            </w:pPr>
          </w:p>
        </w:tc>
      </w:tr>
      <w:tr w:rsidR="00444BCE" w14:paraId="25D3EB52" w14:textId="77777777" w:rsidTr="00C16DCA">
        <w:tc>
          <w:tcPr>
            <w:tcW w:w="553" w:type="pct"/>
            <w:shd w:val="clear" w:color="auto" w:fill="E1E3F2"/>
          </w:tcPr>
          <w:p w14:paraId="73324F85" w14:textId="5D2994FE" w:rsidR="00444BCE" w:rsidRDefault="00444BCE">
            <w:pPr>
              <w:pStyle w:val="TabletextrowsAgency"/>
            </w:pPr>
            <w:r>
              <w:t>52</w:t>
            </w:r>
          </w:p>
        </w:tc>
        <w:tc>
          <w:tcPr>
            <w:tcW w:w="720" w:type="pct"/>
            <w:shd w:val="clear" w:color="auto" w:fill="E1E3F2"/>
          </w:tcPr>
          <w:p w14:paraId="6C218B6A" w14:textId="77777777" w:rsidR="00444BCE" w:rsidRDefault="00444BCE">
            <w:pPr>
              <w:pStyle w:val="TabletextrowsAgency"/>
            </w:pPr>
          </w:p>
        </w:tc>
        <w:tc>
          <w:tcPr>
            <w:tcW w:w="1789" w:type="pct"/>
            <w:shd w:val="clear" w:color="auto" w:fill="E1E3F2"/>
          </w:tcPr>
          <w:p w14:paraId="5DEE4323" w14:textId="68A3F3EB" w:rsidR="00444BCE" w:rsidRPr="00DF7C48" w:rsidRDefault="00444BCE" w:rsidP="00033B96">
            <w:pPr>
              <w:pStyle w:val="TabletextrowsAgency"/>
            </w:pPr>
            <w:r w:rsidRPr="00426BFE">
              <w:t xml:space="preserve">Can you please add “A factor of 5 for F1 was chosen because rat was species investigated in the most relevant study” </w:t>
            </w:r>
          </w:p>
        </w:tc>
        <w:tc>
          <w:tcPr>
            <w:tcW w:w="1939" w:type="pct"/>
            <w:shd w:val="clear" w:color="auto" w:fill="E1E3F2"/>
          </w:tcPr>
          <w:p w14:paraId="189289A2" w14:textId="77777777" w:rsidR="00444BCE" w:rsidRPr="00E5572A" w:rsidRDefault="00444BCE">
            <w:pPr>
              <w:pStyle w:val="TabletextrowsAgency"/>
              <w:rPr>
                <w:highlight w:val="yellow"/>
              </w:rPr>
            </w:pPr>
          </w:p>
        </w:tc>
      </w:tr>
      <w:tr w:rsidR="00444BCE" w14:paraId="49595F22" w14:textId="77777777" w:rsidTr="00C16DCA">
        <w:tc>
          <w:tcPr>
            <w:tcW w:w="553" w:type="pct"/>
            <w:shd w:val="clear" w:color="auto" w:fill="E1E3F2"/>
          </w:tcPr>
          <w:p w14:paraId="73F73918" w14:textId="44794205" w:rsidR="00444BCE" w:rsidRDefault="00444BCE" w:rsidP="00D234FB">
            <w:pPr>
              <w:pStyle w:val="TabletextrowsAgency"/>
            </w:pPr>
            <w:r>
              <w:t>65</w:t>
            </w:r>
          </w:p>
        </w:tc>
        <w:tc>
          <w:tcPr>
            <w:tcW w:w="720" w:type="pct"/>
            <w:shd w:val="clear" w:color="auto" w:fill="E1E3F2"/>
          </w:tcPr>
          <w:p w14:paraId="6E564916" w14:textId="77777777" w:rsidR="00444BCE" w:rsidRDefault="00444BCE" w:rsidP="00D234FB">
            <w:pPr>
              <w:pStyle w:val="TabletextrowsAgency"/>
            </w:pPr>
          </w:p>
        </w:tc>
        <w:tc>
          <w:tcPr>
            <w:tcW w:w="1789" w:type="pct"/>
            <w:shd w:val="clear" w:color="auto" w:fill="E1E3F2"/>
          </w:tcPr>
          <w:p w14:paraId="7AE69D2B" w14:textId="77777777" w:rsidR="00444BCE" w:rsidRDefault="00444BCE" w:rsidP="00D234FB">
            <w:pPr>
              <w:pStyle w:val="TabletextrowsAgency"/>
            </w:pPr>
            <w:r>
              <w:t>You are mentioning in the absence of parenteral data, but in our opinion intraperitoneal is parenteral.</w:t>
            </w:r>
          </w:p>
          <w:p w14:paraId="7C287546" w14:textId="77777777" w:rsidR="00444BCE" w:rsidRDefault="00444BCE" w:rsidP="00D234FB">
            <w:pPr>
              <w:pStyle w:val="TabletextrowsAgency"/>
            </w:pPr>
          </w:p>
          <w:p w14:paraId="7F3EC0DB" w14:textId="37280BF8" w:rsidR="00444BCE" w:rsidRDefault="00444BCE" w:rsidP="00D234FB">
            <w:pPr>
              <w:pStyle w:val="TabletextrowsAgency"/>
            </w:pPr>
            <w:r>
              <w:t xml:space="preserve">Proposed change (if any): We propose the following sentence “In the absence of relevant inhalation data </w:t>
            </w:r>
          </w:p>
        </w:tc>
        <w:tc>
          <w:tcPr>
            <w:tcW w:w="1939" w:type="pct"/>
            <w:shd w:val="clear" w:color="auto" w:fill="E1E3F2"/>
          </w:tcPr>
          <w:p w14:paraId="2579991B" w14:textId="77777777" w:rsidR="00444BCE" w:rsidRDefault="00444BCE" w:rsidP="00D234FB">
            <w:pPr>
              <w:pStyle w:val="TabletextrowsAgency"/>
            </w:pPr>
          </w:p>
        </w:tc>
      </w:tr>
      <w:tr w:rsidR="00444BCE" w14:paraId="2494D1A4" w14:textId="36899010" w:rsidTr="00C16DCA">
        <w:tc>
          <w:tcPr>
            <w:tcW w:w="553" w:type="pct"/>
            <w:shd w:val="clear" w:color="auto" w:fill="E1E3F2"/>
          </w:tcPr>
          <w:p w14:paraId="3797A60B" w14:textId="77777777" w:rsidR="00444BCE" w:rsidRDefault="00444BCE">
            <w:pPr>
              <w:pStyle w:val="TabletextrowsAgency"/>
            </w:pPr>
            <w:r>
              <w:t>131</w:t>
            </w:r>
          </w:p>
        </w:tc>
        <w:tc>
          <w:tcPr>
            <w:tcW w:w="720" w:type="pct"/>
            <w:shd w:val="clear" w:color="auto" w:fill="E1E3F2"/>
          </w:tcPr>
          <w:p w14:paraId="4FC9C96A" w14:textId="6E3FD4D8" w:rsidR="00444BCE" w:rsidRDefault="00444BCE">
            <w:pPr>
              <w:pStyle w:val="TabletextrowsAgency"/>
            </w:pPr>
          </w:p>
        </w:tc>
        <w:tc>
          <w:tcPr>
            <w:tcW w:w="1789" w:type="pct"/>
            <w:shd w:val="clear" w:color="auto" w:fill="E1E3F2"/>
          </w:tcPr>
          <w:p w14:paraId="0B40C40C" w14:textId="77777777" w:rsidR="00444BCE" w:rsidRDefault="00444BCE" w:rsidP="00033B96">
            <w:pPr>
              <w:pStyle w:val="TabletextrowsAgency"/>
            </w:pPr>
            <w:r>
              <w:t>“... the lowest level of silver resulting in argyria was 1 g metallic silver.”: Is the cumulative dose meant here? If yes, proposed change:</w:t>
            </w:r>
          </w:p>
          <w:p w14:paraId="4EADC059" w14:textId="77777777" w:rsidR="00444BCE" w:rsidRDefault="00444BCE" w:rsidP="00033B96">
            <w:pPr>
              <w:pStyle w:val="TabletextrowsAgency"/>
            </w:pPr>
            <w:r>
              <w:t xml:space="preserve">“... the lowest </w:t>
            </w:r>
            <w:r w:rsidRPr="00033B96">
              <w:rPr>
                <w:b/>
                <w:bCs/>
                <w:u w:val="single"/>
              </w:rPr>
              <w:t>cumulative dose</w:t>
            </w:r>
            <w:r>
              <w:t xml:space="preserve"> of silver resulting in argyria was 1 g metallic silver.”</w:t>
            </w:r>
          </w:p>
        </w:tc>
        <w:tc>
          <w:tcPr>
            <w:tcW w:w="1939" w:type="pct"/>
            <w:shd w:val="clear" w:color="auto" w:fill="E1E3F2"/>
          </w:tcPr>
          <w:p w14:paraId="7AB8F4D0" w14:textId="6E7EE6F9" w:rsidR="00444BCE" w:rsidRDefault="00444BCE">
            <w:pPr>
              <w:pStyle w:val="TabletextrowsAgency"/>
            </w:pPr>
          </w:p>
        </w:tc>
      </w:tr>
      <w:tr w:rsidR="00444BCE" w14:paraId="3DEA1667" w14:textId="2DFCA1A8" w:rsidTr="00C16DCA">
        <w:tc>
          <w:tcPr>
            <w:tcW w:w="553" w:type="pct"/>
            <w:shd w:val="clear" w:color="auto" w:fill="E1E3F2"/>
          </w:tcPr>
          <w:p w14:paraId="349DF6FD" w14:textId="77777777" w:rsidR="00444BCE" w:rsidRDefault="00444BCE" w:rsidP="00653C71">
            <w:pPr>
              <w:pStyle w:val="TabletextrowsAgency"/>
            </w:pPr>
            <w:r>
              <w:t>261 and 460 ff</w:t>
            </w:r>
          </w:p>
        </w:tc>
        <w:tc>
          <w:tcPr>
            <w:tcW w:w="720" w:type="pct"/>
            <w:shd w:val="clear" w:color="auto" w:fill="E1E3F2"/>
          </w:tcPr>
          <w:p w14:paraId="2B191A09" w14:textId="77777777" w:rsidR="00444BCE" w:rsidRDefault="00444BCE">
            <w:pPr>
              <w:pStyle w:val="TabletextrowsAgency"/>
            </w:pPr>
          </w:p>
        </w:tc>
        <w:tc>
          <w:tcPr>
            <w:tcW w:w="1789" w:type="pct"/>
            <w:shd w:val="clear" w:color="auto" w:fill="E1E3F2"/>
          </w:tcPr>
          <w:p w14:paraId="7D088D3E" w14:textId="77777777" w:rsidR="00444BCE" w:rsidRDefault="00444BCE" w:rsidP="00187B89">
            <w:pPr>
              <w:pStyle w:val="TabletextrowsAgency"/>
            </w:pPr>
            <w:r>
              <w:t xml:space="preserve">Line 261: “...the assessment relied on evaluating the available data for </w:t>
            </w:r>
            <w:r w:rsidRPr="00695C85">
              <w:rPr>
                <w:highlight w:val="yellow"/>
              </w:rPr>
              <w:t>inorganic forms of the EI</w:t>
            </w:r>
            <w:r>
              <w:t>...”</w:t>
            </w:r>
          </w:p>
          <w:p w14:paraId="4C1F6E09" w14:textId="77777777" w:rsidR="00444BCE" w:rsidRDefault="00444BCE" w:rsidP="00187B89">
            <w:pPr>
              <w:pStyle w:val="TabletextrowsAgency"/>
            </w:pPr>
          </w:p>
          <w:p w14:paraId="7858A0A0" w14:textId="6B5FC6E6" w:rsidR="00444BCE" w:rsidRPr="00695C85" w:rsidRDefault="00444BCE" w:rsidP="0092692F">
            <w:pPr>
              <w:pStyle w:val="TabletextrowsAgency"/>
              <w:rPr>
                <w:color w:val="FF0000"/>
              </w:rPr>
            </w:pPr>
            <w:r>
              <w:t xml:space="preserve">Please consider if further clarification is appropriate  - also in the main guideline - that all PDEs are applicable only for inorganic forms of the elements. </w:t>
            </w:r>
          </w:p>
        </w:tc>
        <w:tc>
          <w:tcPr>
            <w:tcW w:w="1939" w:type="pct"/>
            <w:shd w:val="clear" w:color="auto" w:fill="E1E3F2"/>
          </w:tcPr>
          <w:p w14:paraId="7B170A11" w14:textId="275D29FC" w:rsidR="00444BCE" w:rsidRDefault="00444BCE">
            <w:pPr>
              <w:pStyle w:val="TabletextrowsAgency"/>
            </w:pPr>
          </w:p>
        </w:tc>
      </w:tr>
      <w:tr w:rsidR="00444BCE" w14:paraId="54EEBDA1" w14:textId="77777777" w:rsidTr="00C16DCA">
        <w:tc>
          <w:tcPr>
            <w:tcW w:w="553" w:type="pct"/>
            <w:shd w:val="clear" w:color="auto" w:fill="E1E3F2"/>
          </w:tcPr>
          <w:p w14:paraId="62B415F2" w14:textId="42ECFDCE" w:rsidR="00444BCE" w:rsidRDefault="00444BCE" w:rsidP="00E1308C">
            <w:pPr>
              <w:pStyle w:val="TabletextrowsAgency"/>
            </w:pPr>
            <w:r w:rsidRPr="00DE1AC2">
              <w:lastRenderedPageBreak/>
              <w:t>441</w:t>
            </w:r>
          </w:p>
        </w:tc>
        <w:tc>
          <w:tcPr>
            <w:tcW w:w="720" w:type="pct"/>
            <w:shd w:val="clear" w:color="auto" w:fill="E1E3F2"/>
          </w:tcPr>
          <w:p w14:paraId="31BABF34" w14:textId="77777777" w:rsidR="00444BCE" w:rsidRDefault="00444BCE" w:rsidP="00E1308C">
            <w:pPr>
              <w:pStyle w:val="TabletextrowsAgency"/>
            </w:pPr>
          </w:p>
        </w:tc>
        <w:tc>
          <w:tcPr>
            <w:tcW w:w="1789" w:type="pct"/>
            <w:shd w:val="clear" w:color="auto" w:fill="E1E3F2"/>
          </w:tcPr>
          <w:p w14:paraId="64460302" w14:textId="18D1A054" w:rsidR="00444BCE" w:rsidRDefault="00444BCE" w:rsidP="00E1308C">
            <w:pPr>
              <w:pStyle w:val="TabletextrowsAgency"/>
            </w:pPr>
            <w:r w:rsidRPr="00DE1AC2">
              <w:t xml:space="preserve">Comment: The text states that a “justified estimation of a WORST CASE” exposure / MDD should be provided. Worst case suggests the most extreme patient use should be accounted for. This may be overly precautionary and it may be more reasonable to allow for not ‘worst case MDD’ to be used but rather a MDD that covers ‘most routine patient use circumstances’.    </w:t>
            </w:r>
          </w:p>
        </w:tc>
        <w:tc>
          <w:tcPr>
            <w:tcW w:w="1939" w:type="pct"/>
            <w:shd w:val="clear" w:color="auto" w:fill="E1E3F2"/>
          </w:tcPr>
          <w:p w14:paraId="793AA261" w14:textId="77777777" w:rsidR="00444BCE" w:rsidRPr="00BF48D6" w:rsidRDefault="00444BCE" w:rsidP="006076B8">
            <w:pPr>
              <w:pStyle w:val="TableFigurenoteAgency"/>
              <w:rPr>
                <w:sz w:val="18"/>
                <w:szCs w:val="18"/>
              </w:rPr>
            </w:pPr>
            <w:r w:rsidRPr="009A31C4">
              <w:rPr>
                <w:sz w:val="18"/>
                <w:szCs w:val="18"/>
              </w:rPr>
              <w:t>Proposed change (if any): Please change this text to allow for “a justified estimation of a MDD that cover most routine patient use circumstances.”</w:t>
            </w:r>
          </w:p>
          <w:p w14:paraId="6CEE4AC0" w14:textId="01E2EA14" w:rsidR="00444BCE" w:rsidRDefault="00444BCE" w:rsidP="00E1308C">
            <w:pPr>
              <w:pStyle w:val="TabletextrowsAgency"/>
            </w:pPr>
          </w:p>
        </w:tc>
      </w:tr>
      <w:tr w:rsidR="00444BCE" w14:paraId="56F635FC" w14:textId="44AA2C27" w:rsidTr="00C16DCA">
        <w:tc>
          <w:tcPr>
            <w:tcW w:w="553" w:type="pct"/>
            <w:shd w:val="clear" w:color="auto" w:fill="E1E3F2"/>
          </w:tcPr>
          <w:p w14:paraId="586A3A5E" w14:textId="77777777" w:rsidR="00444BCE" w:rsidRDefault="00444BCE" w:rsidP="00D91B47">
            <w:pPr>
              <w:pStyle w:val="TabletextrowsAgency"/>
            </w:pPr>
            <w:r>
              <w:t>Minor comments regarding format:</w:t>
            </w:r>
          </w:p>
        </w:tc>
        <w:tc>
          <w:tcPr>
            <w:tcW w:w="720" w:type="pct"/>
            <w:shd w:val="clear" w:color="auto" w:fill="E1E3F2"/>
          </w:tcPr>
          <w:p w14:paraId="7E4E16E4" w14:textId="77777777" w:rsidR="00444BCE" w:rsidRDefault="00444BCE">
            <w:pPr>
              <w:pStyle w:val="TabletextrowsAgency"/>
            </w:pPr>
          </w:p>
        </w:tc>
        <w:tc>
          <w:tcPr>
            <w:tcW w:w="1789" w:type="pct"/>
            <w:shd w:val="clear" w:color="auto" w:fill="E1E3F2"/>
          </w:tcPr>
          <w:p w14:paraId="14D11481" w14:textId="77777777" w:rsidR="00444BCE" w:rsidRDefault="00444BCE" w:rsidP="00187B89">
            <w:pPr>
              <w:pStyle w:val="TabletextrowsAgency"/>
            </w:pPr>
          </w:p>
        </w:tc>
        <w:tc>
          <w:tcPr>
            <w:tcW w:w="1939" w:type="pct"/>
            <w:shd w:val="clear" w:color="auto" w:fill="E1E3F2"/>
          </w:tcPr>
          <w:p w14:paraId="340C4D17" w14:textId="77777777" w:rsidR="00444BCE" w:rsidRDefault="00444BCE">
            <w:pPr>
              <w:pStyle w:val="TabletextrowsAgency"/>
            </w:pPr>
          </w:p>
        </w:tc>
      </w:tr>
      <w:tr w:rsidR="00444BCE" w14:paraId="0B0FAE4A" w14:textId="7BA4EBFF" w:rsidTr="00C16DCA">
        <w:tc>
          <w:tcPr>
            <w:tcW w:w="553" w:type="pct"/>
            <w:shd w:val="clear" w:color="auto" w:fill="E1E3F2"/>
          </w:tcPr>
          <w:p w14:paraId="3E81DB17" w14:textId="77777777" w:rsidR="00444BCE" w:rsidRDefault="00444BCE" w:rsidP="00F1477E">
            <w:pPr>
              <w:pStyle w:val="TabletextrowsAgency"/>
            </w:pPr>
            <w:r>
              <w:t>e.g. 45, 48, 60, 110</w:t>
            </w:r>
          </w:p>
        </w:tc>
        <w:tc>
          <w:tcPr>
            <w:tcW w:w="720" w:type="pct"/>
            <w:shd w:val="clear" w:color="auto" w:fill="E1E3F2"/>
          </w:tcPr>
          <w:p w14:paraId="16BED354" w14:textId="77777777" w:rsidR="00444BCE" w:rsidRDefault="00444BCE" w:rsidP="00F1477E">
            <w:pPr>
              <w:pStyle w:val="TabletextrowsAgency"/>
            </w:pPr>
          </w:p>
        </w:tc>
        <w:tc>
          <w:tcPr>
            <w:tcW w:w="1789" w:type="pct"/>
            <w:shd w:val="clear" w:color="auto" w:fill="E1E3F2"/>
          </w:tcPr>
          <w:p w14:paraId="31BE0C6B" w14:textId="77777777" w:rsidR="00444BCE" w:rsidRDefault="00444BCE" w:rsidP="00F1477E">
            <w:pPr>
              <w:pStyle w:val="TabletextrowsAgency"/>
            </w:pPr>
            <w:r>
              <w:t xml:space="preserve">intra peritoneal: </w:t>
            </w:r>
            <w:r w:rsidRPr="00D91B47">
              <w:t xml:space="preserve">Proposed </w:t>
            </w:r>
            <w:r>
              <w:t>change to intraperitoneal (without blank) in whole document</w:t>
            </w:r>
          </w:p>
        </w:tc>
        <w:tc>
          <w:tcPr>
            <w:tcW w:w="1939" w:type="pct"/>
            <w:shd w:val="clear" w:color="auto" w:fill="E1E3F2"/>
          </w:tcPr>
          <w:p w14:paraId="62EF229C" w14:textId="0EA30D79" w:rsidR="00444BCE" w:rsidRDefault="00444BCE" w:rsidP="00F1477E">
            <w:pPr>
              <w:pStyle w:val="TabletextrowsAgency"/>
            </w:pPr>
          </w:p>
        </w:tc>
      </w:tr>
      <w:tr w:rsidR="00444BCE" w14:paraId="7792F7FC" w14:textId="46C956EE" w:rsidTr="00C16DCA">
        <w:tc>
          <w:tcPr>
            <w:tcW w:w="553" w:type="pct"/>
            <w:shd w:val="clear" w:color="auto" w:fill="E1E3F2"/>
          </w:tcPr>
          <w:p w14:paraId="739E0AC5" w14:textId="77777777" w:rsidR="00444BCE" w:rsidRPr="00D91B47" w:rsidRDefault="00444BCE" w:rsidP="00F1477E">
            <w:pPr>
              <w:pStyle w:val="TabletextrowsAgency"/>
            </w:pPr>
            <w:r w:rsidRPr="00D91B47">
              <w:t>59</w:t>
            </w:r>
          </w:p>
        </w:tc>
        <w:tc>
          <w:tcPr>
            <w:tcW w:w="720" w:type="pct"/>
            <w:shd w:val="clear" w:color="auto" w:fill="E1E3F2"/>
          </w:tcPr>
          <w:p w14:paraId="1110291F" w14:textId="77777777" w:rsidR="00444BCE" w:rsidRPr="00D91B47" w:rsidRDefault="00444BCE" w:rsidP="00F1477E">
            <w:pPr>
              <w:pStyle w:val="TabletextrowsAgency"/>
            </w:pPr>
          </w:p>
        </w:tc>
        <w:tc>
          <w:tcPr>
            <w:tcW w:w="1789" w:type="pct"/>
            <w:shd w:val="clear" w:color="auto" w:fill="E1E3F2"/>
          </w:tcPr>
          <w:p w14:paraId="34063FFD" w14:textId="77777777" w:rsidR="00444BCE" w:rsidRPr="00D91B47" w:rsidRDefault="00444BCE" w:rsidP="00F1477E">
            <w:pPr>
              <w:pStyle w:val="TabletextrowsAgency"/>
            </w:pPr>
            <w:r>
              <w:t>“</w:t>
            </w:r>
            <w:r w:rsidRPr="00D91B47">
              <w:t>2/mg/kg</w:t>
            </w:r>
            <w:r>
              <w:t>”</w:t>
            </w:r>
            <w:r w:rsidRPr="00D91B47">
              <w:t>: Proposed change to: 2 mg/kg</w:t>
            </w:r>
          </w:p>
        </w:tc>
        <w:tc>
          <w:tcPr>
            <w:tcW w:w="1939" w:type="pct"/>
            <w:shd w:val="clear" w:color="auto" w:fill="E1E3F2"/>
          </w:tcPr>
          <w:p w14:paraId="6ED18973" w14:textId="77777777" w:rsidR="00444BCE" w:rsidRDefault="00444BCE" w:rsidP="00F1477E">
            <w:pPr>
              <w:pStyle w:val="TabletextrowsAgency"/>
            </w:pPr>
          </w:p>
        </w:tc>
      </w:tr>
      <w:tr w:rsidR="00444BCE" w:rsidRPr="00D91B47" w14:paraId="3935152D" w14:textId="2357427F" w:rsidTr="00C16DCA">
        <w:tc>
          <w:tcPr>
            <w:tcW w:w="553" w:type="pct"/>
            <w:shd w:val="clear" w:color="auto" w:fill="E1E3F2"/>
          </w:tcPr>
          <w:p w14:paraId="5C407E73" w14:textId="77777777" w:rsidR="00444BCE" w:rsidRPr="00D91B47" w:rsidRDefault="00444BCE" w:rsidP="00F1477E">
            <w:pPr>
              <w:pStyle w:val="TabletextrowsAgency"/>
            </w:pPr>
            <w:r w:rsidRPr="00D91B47">
              <w:t>e.g. 69, 146, 160</w:t>
            </w:r>
          </w:p>
        </w:tc>
        <w:tc>
          <w:tcPr>
            <w:tcW w:w="720" w:type="pct"/>
            <w:shd w:val="clear" w:color="auto" w:fill="E1E3F2"/>
          </w:tcPr>
          <w:p w14:paraId="313FDE04" w14:textId="77777777" w:rsidR="00444BCE" w:rsidRPr="00D91B47" w:rsidRDefault="00444BCE" w:rsidP="00F1477E">
            <w:pPr>
              <w:pStyle w:val="TabletextrowsAgency"/>
            </w:pPr>
          </w:p>
        </w:tc>
        <w:tc>
          <w:tcPr>
            <w:tcW w:w="1789" w:type="pct"/>
            <w:shd w:val="clear" w:color="auto" w:fill="E1E3F2"/>
          </w:tcPr>
          <w:p w14:paraId="7A3509EE" w14:textId="77777777" w:rsidR="00444BCE" w:rsidRPr="00D91B47" w:rsidRDefault="00444BCE" w:rsidP="00F1477E">
            <w:pPr>
              <w:pStyle w:val="TabletextrowsAgency"/>
            </w:pPr>
            <w:r w:rsidRPr="00D91B47">
              <w:t>“day” is partly abbreviated as “d”, mostly not</w:t>
            </w:r>
          </w:p>
          <w:p w14:paraId="5FCADE6E" w14:textId="77777777" w:rsidR="00444BCE" w:rsidRPr="00D91B47" w:rsidRDefault="00444BCE" w:rsidP="00F1477E">
            <w:pPr>
              <w:pStyle w:val="TabletextrowsAgency"/>
            </w:pPr>
            <w:r w:rsidRPr="00D91B47">
              <w:t>Proposed change: consistent use of “day” throughout the whole document, e.g. in Line 69:</w:t>
            </w:r>
          </w:p>
          <w:p w14:paraId="04C3FC41" w14:textId="77777777" w:rsidR="00444BCE" w:rsidRPr="00D91B47" w:rsidRDefault="00444BCE" w:rsidP="00F1477E">
            <w:pPr>
              <w:pStyle w:val="TabletextrowsAgency"/>
            </w:pPr>
            <w:r w:rsidRPr="00D91B47">
              <w:t xml:space="preserve">PDE = 322 </w:t>
            </w:r>
            <w:proofErr w:type="spellStart"/>
            <w:r w:rsidRPr="00D91B47">
              <w:t>μg</w:t>
            </w:r>
            <w:proofErr w:type="spellEnd"/>
            <w:r w:rsidRPr="00D91B47">
              <w:t>/</w:t>
            </w:r>
            <w:r w:rsidRPr="00D91B47">
              <w:rPr>
                <w:b/>
                <w:bCs/>
              </w:rPr>
              <w:t>d</w:t>
            </w:r>
            <w:r w:rsidRPr="00D91B47">
              <w:rPr>
                <w:b/>
                <w:bCs/>
                <w:u w:val="single"/>
              </w:rPr>
              <w:t>ay</w:t>
            </w:r>
            <w:r w:rsidRPr="00D91B47">
              <w:t xml:space="preserve"> / 100 = 3.22 </w:t>
            </w:r>
            <w:proofErr w:type="spellStart"/>
            <w:r w:rsidRPr="00D91B47">
              <w:t>μg</w:t>
            </w:r>
            <w:proofErr w:type="spellEnd"/>
            <w:r w:rsidRPr="00D91B47">
              <w:t>/day</w:t>
            </w:r>
          </w:p>
        </w:tc>
        <w:tc>
          <w:tcPr>
            <w:tcW w:w="1939" w:type="pct"/>
            <w:shd w:val="clear" w:color="auto" w:fill="E1E3F2"/>
          </w:tcPr>
          <w:p w14:paraId="6DB0F85E" w14:textId="77777777" w:rsidR="00444BCE" w:rsidRPr="00D91B47" w:rsidRDefault="00444BCE" w:rsidP="00F1477E">
            <w:pPr>
              <w:pStyle w:val="TabletextrowsAgency"/>
            </w:pPr>
          </w:p>
        </w:tc>
      </w:tr>
      <w:tr w:rsidR="00444BCE" w14:paraId="3D36FD21" w14:textId="722C53EB" w:rsidTr="00C16DCA">
        <w:tc>
          <w:tcPr>
            <w:tcW w:w="553" w:type="pct"/>
            <w:shd w:val="clear" w:color="auto" w:fill="E1E3F2"/>
          </w:tcPr>
          <w:p w14:paraId="447A2FE5" w14:textId="77777777" w:rsidR="00444BCE" w:rsidRDefault="00444BCE">
            <w:pPr>
              <w:pStyle w:val="TabletextrowsAgency"/>
            </w:pPr>
          </w:p>
        </w:tc>
        <w:tc>
          <w:tcPr>
            <w:tcW w:w="720" w:type="pct"/>
            <w:shd w:val="clear" w:color="auto" w:fill="E1E3F2"/>
          </w:tcPr>
          <w:p w14:paraId="1E8C4826" w14:textId="77777777" w:rsidR="00444BCE" w:rsidRDefault="00444BCE">
            <w:pPr>
              <w:pStyle w:val="TabletextrowsAgency"/>
            </w:pPr>
          </w:p>
        </w:tc>
        <w:tc>
          <w:tcPr>
            <w:tcW w:w="1789" w:type="pct"/>
            <w:shd w:val="clear" w:color="auto" w:fill="E1E3F2"/>
          </w:tcPr>
          <w:p w14:paraId="06B8991F" w14:textId="77777777" w:rsidR="00444BCE" w:rsidRDefault="00444BCE" w:rsidP="00685245">
            <w:pPr>
              <w:pStyle w:val="TabletextrowsAgency"/>
            </w:pPr>
          </w:p>
        </w:tc>
        <w:tc>
          <w:tcPr>
            <w:tcW w:w="1939" w:type="pct"/>
            <w:shd w:val="clear" w:color="auto" w:fill="E1E3F2"/>
          </w:tcPr>
          <w:p w14:paraId="72D70064" w14:textId="77777777" w:rsidR="00444BCE" w:rsidRDefault="00444BCE">
            <w:pPr>
              <w:pStyle w:val="TabletextrowsAgency"/>
            </w:pPr>
          </w:p>
        </w:tc>
      </w:tr>
    </w:tbl>
    <w:p w14:paraId="6FBCED5C" w14:textId="77777777" w:rsidR="005D6621" w:rsidRDefault="005D6621">
      <w:pPr>
        <w:pStyle w:val="TableFigurenoteAgency"/>
      </w:pPr>
    </w:p>
    <w:sectPr w:rsidR="005D6621">
      <w:pgSz w:w="16838" w:h="11906" w:orient="landscape" w:code="9"/>
      <w:pgMar w:top="1418" w:right="1134" w:bottom="1418" w:left="1134"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96AF0" w14:textId="77777777" w:rsidR="00BD461D" w:rsidRDefault="00BD461D">
      <w:r>
        <w:separator/>
      </w:r>
    </w:p>
  </w:endnote>
  <w:endnote w:type="continuationSeparator" w:id="0">
    <w:p w14:paraId="62B59523" w14:textId="77777777" w:rsidR="00BD461D" w:rsidRDefault="00BD4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1E0" w:firstRow="1" w:lastRow="1" w:firstColumn="1" w:lastColumn="1" w:noHBand="0" w:noVBand="0"/>
    </w:tblPr>
    <w:tblGrid>
      <w:gridCol w:w="9590"/>
      <w:gridCol w:w="4980"/>
    </w:tblGrid>
    <w:tr w:rsidR="005D6621" w14:paraId="24D19CD0" w14:textId="77777777">
      <w:tc>
        <w:tcPr>
          <w:tcW w:w="5000" w:type="pct"/>
          <w:gridSpan w:val="2"/>
          <w:tcBorders>
            <w:top w:val="single" w:sz="2" w:space="0" w:color="auto"/>
            <w:left w:val="nil"/>
            <w:bottom w:val="nil"/>
            <w:right w:val="nil"/>
          </w:tcBorders>
          <w:tcMar>
            <w:left w:w="0" w:type="dxa"/>
            <w:right w:w="0" w:type="dxa"/>
          </w:tcMar>
        </w:tcPr>
        <w:p w14:paraId="7C355382" w14:textId="77777777" w:rsidR="005D6621" w:rsidRDefault="005D6621">
          <w:pPr>
            <w:pStyle w:val="FooterAgency"/>
          </w:pPr>
        </w:p>
      </w:tc>
    </w:tr>
    <w:tr w:rsidR="005D6621" w14:paraId="6679D88A" w14:textId="77777777">
      <w:trPr>
        <w:trHeight w:val="355"/>
      </w:trPr>
      <w:tc>
        <w:tcPr>
          <w:tcW w:w="3291" w:type="pct"/>
          <w:tcMar>
            <w:left w:w="0" w:type="dxa"/>
            <w:right w:w="0" w:type="dxa"/>
          </w:tcMar>
        </w:tcPr>
        <w:p w14:paraId="18799156" w14:textId="77777777" w:rsidR="005D6621" w:rsidRDefault="005D6621">
          <w:pPr>
            <w:pStyle w:val="FooterAgency"/>
          </w:pPr>
        </w:p>
      </w:tc>
      <w:tc>
        <w:tcPr>
          <w:tcW w:w="1709" w:type="pct"/>
          <w:tcMar>
            <w:left w:w="0" w:type="dxa"/>
            <w:right w:w="0" w:type="dxa"/>
          </w:tcMar>
        </w:tcPr>
        <w:p w14:paraId="0AC94572" w14:textId="77777777" w:rsidR="005D6621" w:rsidRDefault="005D6621">
          <w:pPr>
            <w:pStyle w:val="FooterAgency"/>
          </w:pPr>
        </w:p>
      </w:tc>
    </w:tr>
    <w:tr w:rsidR="005D6621" w14:paraId="1456F97B" w14:textId="77777777">
      <w:tc>
        <w:tcPr>
          <w:tcW w:w="3291" w:type="pct"/>
          <w:tcMar>
            <w:left w:w="0" w:type="dxa"/>
            <w:right w:w="0" w:type="dxa"/>
          </w:tcMar>
        </w:tcPr>
        <w:p w14:paraId="6B7513D3" w14:textId="77777777" w:rsidR="005D6621" w:rsidRDefault="005D6621">
          <w:pPr>
            <w:pStyle w:val="FooterAgency"/>
          </w:pPr>
        </w:p>
      </w:tc>
      <w:tc>
        <w:tcPr>
          <w:tcW w:w="1709" w:type="pct"/>
          <w:tcMar>
            <w:left w:w="0" w:type="dxa"/>
            <w:right w:w="0" w:type="dxa"/>
          </w:tcMar>
        </w:tcPr>
        <w:p w14:paraId="058682DD" w14:textId="77777777" w:rsidR="005D6621" w:rsidRDefault="005D6621">
          <w:pPr>
            <w:pStyle w:val="PagenumberAgency"/>
            <w:ind w:right="210"/>
          </w:pPr>
          <w:r>
            <w:fldChar w:fldCharType="begin"/>
          </w:r>
          <w:r>
            <w:instrText xml:space="preserve"> PAGE </w:instrText>
          </w:r>
          <w:r>
            <w:fldChar w:fldCharType="separate"/>
          </w:r>
          <w:r w:rsidR="00A42B19">
            <w:rPr>
              <w:noProof/>
            </w:rPr>
            <w:t>4</w:t>
          </w:r>
          <w:r>
            <w:fldChar w:fldCharType="end"/>
          </w:r>
          <w:r>
            <w:t>/</w:t>
          </w:r>
          <w:fldSimple w:instr=" NUMPAGES ">
            <w:r w:rsidR="00A42B19">
              <w:rPr>
                <w:noProof/>
              </w:rPr>
              <w:t>4</w:t>
            </w:r>
          </w:fldSimple>
        </w:p>
      </w:tc>
    </w:tr>
  </w:tbl>
  <w:p w14:paraId="67ADA911" w14:textId="77777777" w:rsidR="005D6621" w:rsidRDefault="005D6621">
    <w:pPr>
      <w:pStyle w:val="FooterAgency"/>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1E0" w:firstRow="1" w:lastRow="1" w:firstColumn="1" w:lastColumn="1" w:noHBand="0" w:noVBand="0"/>
    </w:tblPr>
    <w:tblGrid>
      <w:gridCol w:w="6206"/>
      <w:gridCol w:w="3207"/>
    </w:tblGrid>
    <w:tr w:rsidR="005D6621" w14:paraId="126C587A" w14:textId="77777777">
      <w:tc>
        <w:tcPr>
          <w:tcW w:w="9413" w:type="dxa"/>
          <w:gridSpan w:val="2"/>
          <w:tcBorders>
            <w:top w:val="single" w:sz="2" w:space="0" w:color="auto"/>
            <w:left w:val="nil"/>
            <w:bottom w:val="nil"/>
            <w:right w:val="nil"/>
          </w:tcBorders>
          <w:tcMar>
            <w:left w:w="0" w:type="dxa"/>
            <w:right w:w="0" w:type="dxa"/>
          </w:tcMar>
          <w:vAlign w:val="bottom"/>
        </w:tcPr>
        <w:p w14:paraId="1EA74770" w14:textId="77777777" w:rsidR="005D6621" w:rsidRDefault="005D6621">
          <w:pPr>
            <w:pStyle w:val="FooterAgency"/>
          </w:pPr>
        </w:p>
      </w:tc>
    </w:tr>
    <w:tr w:rsidR="005D6621" w14:paraId="1AE465E0" w14:textId="77777777">
      <w:trPr>
        <w:cantSplit/>
        <w:trHeight w:hRule="exact" w:val="198"/>
      </w:trPr>
      <w:tc>
        <w:tcPr>
          <w:tcW w:w="6206" w:type="dxa"/>
          <w:tcMar>
            <w:left w:w="0" w:type="dxa"/>
            <w:right w:w="0" w:type="dxa"/>
          </w:tcMar>
          <w:vAlign w:val="bottom"/>
        </w:tcPr>
        <w:p w14:paraId="618AEA0E" w14:textId="77777777" w:rsidR="005D6621" w:rsidRDefault="005D6621">
          <w:pPr>
            <w:pStyle w:val="FooterAgency"/>
          </w:pPr>
          <w:r>
            <w:t xml:space="preserve">7 </w:t>
          </w:r>
          <w:proofErr w:type="spellStart"/>
          <w:r>
            <w:t>Westferry</w:t>
          </w:r>
          <w:proofErr w:type="spellEnd"/>
          <w:r>
            <w:t xml:space="preserve"> Circus </w:t>
          </w:r>
          <w:r>
            <w:rPr>
              <w:rStyle w:val="FooterblueAgencyCharChar"/>
            </w:rPr>
            <w:t>●</w:t>
          </w:r>
          <w:r>
            <w:t xml:space="preserve"> Canary Wharf </w:t>
          </w:r>
          <w:r>
            <w:rPr>
              <w:rStyle w:val="FooterblueAgencyCharChar"/>
            </w:rPr>
            <w:t>●</w:t>
          </w:r>
          <w:r>
            <w:t xml:space="preserve"> London E14 4HB </w:t>
          </w:r>
          <w:r>
            <w:rPr>
              <w:rStyle w:val="FooterblueAgencyCharChar"/>
            </w:rPr>
            <w:t>●</w:t>
          </w:r>
          <w:r>
            <w:t xml:space="preserve"> United Kingdom</w:t>
          </w:r>
        </w:p>
      </w:tc>
      <w:tc>
        <w:tcPr>
          <w:tcW w:w="3207" w:type="dxa"/>
          <w:vMerge w:val="restart"/>
          <w:tcMar>
            <w:left w:w="0" w:type="dxa"/>
            <w:right w:w="0" w:type="dxa"/>
          </w:tcMar>
          <w:vAlign w:val="bottom"/>
        </w:tcPr>
        <w:tbl>
          <w:tblPr>
            <w:tblW w:w="0" w:type="auto"/>
            <w:jc w:val="right"/>
            <w:tblLook w:val="01E0" w:firstRow="1" w:lastRow="1" w:firstColumn="1" w:lastColumn="1" w:noHBand="0" w:noVBand="0"/>
          </w:tblPr>
          <w:tblGrid>
            <w:gridCol w:w="2473"/>
            <w:gridCol w:w="734"/>
          </w:tblGrid>
          <w:tr w:rsidR="005D6621" w14:paraId="20BEA43A" w14:textId="77777777">
            <w:trPr>
              <w:cantSplit/>
              <w:trHeight w:val="180"/>
              <w:tblHeader/>
              <w:jc w:val="right"/>
            </w:trPr>
            <w:tc>
              <w:tcPr>
                <w:tcW w:w="2478" w:type="dxa"/>
                <w:vMerge w:val="restart"/>
                <w:tcBorders>
                  <w:top w:val="nil"/>
                  <w:left w:val="nil"/>
                  <w:bottom w:val="nil"/>
                  <w:right w:val="nil"/>
                </w:tcBorders>
                <w:vAlign w:val="bottom"/>
              </w:tcPr>
              <w:p w14:paraId="2941FB98" w14:textId="77777777" w:rsidR="005D6621" w:rsidRDefault="005D6621">
                <w:pPr>
                  <w:pStyle w:val="FooterAgency"/>
                  <w:jc w:val="right"/>
                </w:pPr>
                <w:r>
                  <w:rPr>
                    <w:sz w:val="11"/>
                    <w:szCs w:val="11"/>
                  </w:rPr>
                  <w:t xml:space="preserve">An agency of the European Union  </w:t>
                </w:r>
              </w:p>
            </w:tc>
            <w:tc>
              <w:tcPr>
                <w:tcW w:w="709" w:type="dxa"/>
                <w:vMerge w:val="restart"/>
                <w:tcBorders>
                  <w:top w:val="nil"/>
                  <w:left w:val="nil"/>
                  <w:bottom w:val="nil"/>
                  <w:right w:val="nil"/>
                </w:tcBorders>
                <w:tcMar>
                  <w:right w:w="6" w:type="dxa"/>
                </w:tcMar>
                <w:vAlign w:val="bottom"/>
              </w:tcPr>
              <w:p w14:paraId="635DCE42" w14:textId="77777777" w:rsidR="005D6621" w:rsidRDefault="00CB0271">
                <w:pPr>
                  <w:pStyle w:val="FooterAgency"/>
                  <w:jc w:val="right"/>
                </w:pPr>
                <w:r>
                  <w:rPr>
                    <w:noProof/>
                  </w:rPr>
                  <w:drawing>
                    <wp:inline distT="0" distB="0" distL="0" distR="0" wp14:anchorId="7AFCEA66" wp14:editId="53B94E41">
                      <wp:extent cx="393700" cy="266700"/>
                      <wp:effectExtent l="0" t="0" r="0" b="0"/>
                      <wp:docPr id="2" name="Picture 2" descr="EU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U Logo"/>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3700" cy="266700"/>
                              </a:xfrm>
                              <a:prstGeom prst="rect">
                                <a:avLst/>
                              </a:prstGeom>
                              <a:noFill/>
                              <a:ln>
                                <a:noFill/>
                              </a:ln>
                            </pic:spPr>
                          </pic:pic>
                        </a:graphicData>
                      </a:graphic>
                    </wp:inline>
                  </w:drawing>
                </w:r>
              </w:p>
            </w:tc>
          </w:tr>
          <w:tr w:rsidR="005D6621" w14:paraId="50ED0316" w14:textId="77777777">
            <w:trPr>
              <w:cantSplit/>
              <w:trHeight w:val="390"/>
              <w:jc w:val="right"/>
            </w:trPr>
            <w:tc>
              <w:tcPr>
                <w:tcW w:w="2478" w:type="dxa"/>
                <w:vMerge/>
                <w:vAlign w:val="bottom"/>
              </w:tcPr>
              <w:p w14:paraId="4CAF0E46" w14:textId="77777777" w:rsidR="005D6621" w:rsidRDefault="005D6621">
                <w:pPr>
                  <w:pStyle w:val="FooterAgency"/>
                </w:pPr>
              </w:p>
            </w:tc>
            <w:tc>
              <w:tcPr>
                <w:tcW w:w="709" w:type="dxa"/>
                <w:vMerge/>
                <w:vAlign w:val="bottom"/>
              </w:tcPr>
              <w:p w14:paraId="72C37F06" w14:textId="77777777" w:rsidR="005D6621" w:rsidRDefault="005D6621">
                <w:pPr>
                  <w:pStyle w:val="FooterAgency"/>
                </w:pPr>
              </w:p>
            </w:tc>
          </w:tr>
        </w:tbl>
        <w:p w14:paraId="2F9C5137" w14:textId="77777777" w:rsidR="005D6621" w:rsidRDefault="005D6621">
          <w:pPr>
            <w:pStyle w:val="FooterAgency"/>
            <w:widowControl w:val="0"/>
            <w:adjustRightInd w:val="0"/>
            <w:jc w:val="right"/>
          </w:pPr>
        </w:p>
      </w:tc>
    </w:tr>
    <w:tr w:rsidR="005D6621" w14:paraId="5C2DC6FC" w14:textId="77777777">
      <w:trPr>
        <w:cantSplit/>
        <w:trHeight w:val="390"/>
      </w:trPr>
      <w:tc>
        <w:tcPr>
          <w:tcW w:w="6206" w:type="dxa"/>
          <w:tcMar>
            <w:left w:w="0" w:type="dxa"/>
            <w:right w:w="0" w:type="dxa"/>
          </w:tcMar>
          <w:vAlign w:val="bottom"/>
        </w:tcPr>
        <w:tbl>
          <w:tblPr>
            <w:tblW w:w="0" w:type="auto"/>
            <w:tblCellMar>
              <w:left w:w="0" w:type="dxa"/>
              <w:right w:w="0" w:type="dxa"/>
            </w:tblCellMar>
            <w:tblLook w:val="01E0" w:firstRow="1" w:lastRow="1" w:firstColumn="1" w:lastColumn="1" w:noHBand="0" w:noVBand="0"/>
          </w:tblPr>
          <w:tblGrid>
            <w:gridCol w:w="522"/>
            <w:gridCol w:w="318"/>
            <w:gridCol w:w="1248"/>
            <w:gridCol w:w="400"/>
            <w:gridCol w:w="249"/>
            <w:gridCol w:w="477"/>
            <w:gridCol w:w="2767"/>
          </w:tblGrid>
          <w:tr w:rsidR="005D6621" w14:paraId="603A12ED" w14:textId="77777777">
            <w:trPr>
              <w:trHeight w:hRule="exact" w:val="198"/>
            </w:trPr>
            <w:tc>
              <w:tcPr>
                <w:tcW w:w="840" w:type="dxa"/>
                <w:gridSpan w:val="2"/>
                <w:vAlign w:val="bottom"/>
              </w:tcPr>
              <w:p w14:paraId="4725135F" w14:textId="77777777" w:rsidR="005D6621" w:rsidRDefault="005D6621">
                <w:pPr>
                  <w:pStyle w:val="FooterblueAgency"/>
                </w:pPr>
                <w:r>
                  <w:t>Telephone</w:t>
                </w:r>
              </w:p>
            </w:tc>
            <w:tc>
              <w:tcPr>
                <w:tcW w:w="1648" w:type="dxa"/>
                <w:gridSpan w:val="2"/>
                <w:vAlign w:val="bottom"/>
              </w:tcPr>
              <w:p w14:paraId="74650AE9" w14:textId="77777777" w:rsidR="005D6621" w:rsidRDefault="005D6621">
                <w:pPr>
                  <w:pStyle w:val="FooterAgency"/>
                </w:pPr>
                <w:r>
                  <w:t>+44 (0)20 7418 8400</w:t>
                </w:r>
              </w:p>
            </w:tc>
            <w:tc>
              <w:tcPr>
                <w:tcW w:w="726" w:type="dxa"/>
                <w:gridSpan w:val="2"/>
                <w:vAlign w:val="bottom"/>
              </w:tcPr>
              <w:p w14:paraId="63607FF5" w14:textId="77777777" w:rsidR="005D6621" w:rsidRDefault="005D6621">
                <w:pPr>
                  <w:pStyle w:val="FooterblueAgency"/>
                </w:pPr>
                <w:r>
                  <w:t>Facsimile</w:t>
                </w:r>
              </w:p>
            </w:tc>
            <w:tc>
              <w:tcPr>
                <w:tcW w:w="2767" w:type="dxa"/>
                <w:vAlign w:val="bottom"/>
              </w:tcPr>
              <w:p w14:paraId="0819C8D4" w14:textId="77777777" w:rsidR="005D6621" w:rsidRDefault="005D6621">
                <w:pPr>
                  <w:pStyle w:val="FooterAgency"/>
                </w:pPr>
                <w:r>
                  <w:t>+44 (0)20 7418 8416</w:t>
                </w:r>
              </w:p>
            </w:tc>
          </w:tr>
          <w:tr w:rsidR="005D6621" w14:paraId="065F43BE" w14:textId="77777777">
            <w:trPr>
              <w:trHeight w:hRule="exact" w:val="198"/>
            </w:trPr>
            <w:tc>
              <w:tcPr>
                <w:tcW w:w="522" w:type="dxa"/>
                <w:vAlign w:val="bottom"/>
              </w:tcPr>
              <w:p w14:paraId="2EF50ADB" w14:textId="77777777" w:rsidR="005D6621" w:rsidRDefault="005D6621">
                <w:pPr>
                  <w:pStyle w:val="FooterblueAgency"/>
                </w:pPr>
                <w:r>
                  <w:t>E-mail</w:t>
                </w:r>
              </w:p>
            </w:tc>
            <w:tc>
              <w:tcPr>
                <w:tcW w:w="1566" w:type="dxa"/>
                <w:gridSpan w:val="2"/>
                <w:vAlign w:val="bottom"/>
              </w:tcPr>
              <w:p w14:paraId="09AE3799" w14:textId="77777777" w:rsidR="005D6621" w:rsidRDefault="005D6621">
                <w:pPr>
                  <w:pStyle w:val="FooterAgency"/>
                </w:pPr>
                <w:r>
                  <w:t>info@ema.europa.eu</w:t>
                </w:r>
              </w:p>
            </w:tc>
            <w:tc>
              <w:tcPr>
                <w:tcW w:w="649" w:type="dxa"/>
                <w:gridSpan w:val="2"/>
                <w:vAlign w:val="bottom"/>
              </w:tcPr>
              <w:p w14:paraId="7B97995B" w14:textId="77777777" w:rsidR="005D6621" w:rsidRDefault="005D6621">
                <w:pPr>
                  <w:pStyle w:val="FooterblueAgency"/>
                </w:pPr>
                <w:r>
                  <w:t>Website</w:t>
                </w:r>
              </w:p>
            </w:tc>
            <w:tc>
              <w:tcPr>
                <w:tcW w:w="3244" w:type="dxa"/>
                <w:gridSpan w:val="2"/>
                <w:vAlign w:val="bottom"/>
              </w:tcPr>
              <w:p w14:paraId="01E341C8" w14:textId="77777777" w:rsidR="005D6621" w:rsidRDefault="005D6621">
                <w:pPr>
                  <w:pStyle w:val="FooterAgency"/>
                </w:pPr>
                <w:r>
                  <w:t>www.ema.europa.eu</w:t>
                </w:r>
              </w:p>
            </w:tc>
          </w:tr>
        </w:tbl>
        <w:p w14:paraId="0FB67857" w14:textId="77777777" w:rsidR="005D6621" w:rsidRDefault="005D6621">
          <w:pPr>
            <w:pStyle w:val="FooterAgency"/>
          </w:pPr>
        </w:p>
      </w:tc>
      <w:tc>
        <w:tcPr>
          <w:tcW w:w="3207" w:type="dxa"/>
          <w:vMerge/>
          <w:tcMar>
            <w:left w:w="0" w:type="dxa"/>
            <w:right w:w="0" w:type="dxa"/>
          </w:tcMar>
          <w:vAlign w:val="bottom"/>
        </w:tcPr>
        <w:p w14:paraId="6633616F" w14:textId="77777777" w:rsidR="005D6621" w:rsidRDefault="005D6621">
          <w:pPr>
            <w:pStyle w:val="FooterAgency"/>
          </w:pPr>
        </w:p>
      </w:tc>
    </w:tr>
    <w:tr w:rsidR="005D6621" w14:paraId="6982D1BD" w14:textId="77777777">
      <w:tc>
        <w:tcPr>
          <w:tcW w:w="9413" w:type="dxa"/>
          <w:gridSpan w:val="2"/>
          <w:tcMar>
            <w:left w:w="0" w:type="dxa"/>
            <w:right w:w="0" w:type="dxa"/>
          </w:tcMar>
          <w:vAlign w:val="bottom"/>
        </w:tcPr>
        <w:p w14:paraId="6337AA08" w14:textId="77777777" w:rsidR="005D6621" w:rsidRDefault="005D6621">
          <w:pPr>
            <w:pStyle w:val="FooterAgency"/>
          </w:pPr>
        </w:p>
      </w:tc>
    </w:tr>
    <w:tr w:rsidR="005D6621" w14:paraId="76AD6F76" w14:textId="77777777">
      <w:tc>
        <w:tcPr>
          <w:tcW w:w="9413" w:type="dxa"/>
          <w:gridSpan w:val="2"/>
          <w:tcMar>
            <w:left w:w="0" w:type="dxa"/>
            <w:right w:w="0" w:type="dxa"/>
          </w:tcMar>
          <w:vAlign w:val="bottom"/>
        </w:tcPr>
        <w:p w14:paraId="5AB541E2" w14:textId="77777777" w:rsidR="005D6621" w:rsidRDefault="005D6621">
          <w:pPr>
            <w:pStyle w:val="FooterAgency"/>
            <w:jc w:val="center"/>
          </w:pPr>
        </w:p>
      </w:tc>
    </w:tr>
  </w:tbl>
  <w:p w14:paraId="769A0570" w14:textId="77777777" w:rsidR="005D6621" w:rsidRDefault="005D6621">
    <w:pPr>
      <w:pStyle w:val="FooterAgency"/>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2C1B9" w14:textId="77777777" w:rsidR="00BD461D" w:rsidRDefault="00BD461D">
      <w:r>
        <w:separator/>
      </w:r>
    </w:p>
  </w:footnote>
  <w:footnote w:type="continuationSeparator" w:id="0">
    <w:p w14:paraId="0876DCB9" w14:textId="77777777" w:rsidR="00BD461D" w:rsidRDefault="00BD4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D5CEE" w14:textId="77777777" w:rsidR="005D6621" w:rsidRDefault="00CB0271">
    <w:pPr>
      <w:pStyle w:val="FooterAgency"/>
      <w:jc w:val="center"/>
    </w:pPr>
    <w:r>
      <w:rPr>
        <w:noProof/>
      </w:rPr>
      <w:drawing>
        <wp:inline distT="0" distB="0" distL="0" distR="0" wp14:anchorId="1A104EF3" wp14:editId="7EB18309">
          <wp:extent cx="3556000" cy="1803400"/>
          <wp:effectExtent l="0" t="0" r="0" b="0"/>
          <wp:docPr id="1" name="Picture 1" descr="Logo M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S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56000" cy="1803400"/>
                  </a:xfrm>
                  <a:prstGeom prst="rect">
                    <a:avLst/>
                  </a:prstGeom>
                  <a:noFill/>
                  <a:ln>
                    <a:noFill/>
                  </a:ln>
                </pic:spPr>
              </pic:pic>
            </a:graphicData>
          </a:graphic>
        </wp:inline>
      </w:drawing>
    </w:r>
    <w:r w:rsidR="005D6621">
      <w:rPr>
        <w:vanish/>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14281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42E5E9A"/>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80B050BA"/>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C49645A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C434B898"/>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473E9BE6"/>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AE4EF50"/>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B169842"/>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E26BB06"/>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C9A0988"/>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9538275E"/>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85F4D74"/>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2"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C9A004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E64282B"/>
    <w:multiLevelType w:val="multilevel"/>
    <w:tmpl w:val="7614763A"/>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16" w15:restartNumberingAfterBreak="0">
    <w:nsid w:val="3F3471BB"/>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18" w15:restartNumberingAfterBreak="0">
    <w:nsid w:val="6659305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11"/>
  </w:num>
  <w:num w:numId="2">
    <w:abstractNumId w:val="13"/>
  </w:num>
  <w:num w:numId="3">
    <w:abstractNumId w:val="17"/>
  </w:num>
  <w:num w:numId="4">
    <w:abstractNumId w:val="17"/>
  </w:num>
  <w:num w:numId="5">
    <w:abstractNumId w:val="17"/>
  </w:num>
  <w:num w:numId="6">
    <w:abstractNumId w:val="17"/>
  </w:num>
  <w:num w:numId="7">
    <w:abstractNumId w:val="17"/>
  </w:num>
  <w:num w:numId="8">
    <w:abstractNumId w:val="17"/>
  </w:num>
  <w:num w:numId="9">
    <w:abstractNumId w:val="17"/>
  </w:num>
  <w:num w:numId="10">
    <w:abstractNumId w:val="17"/>
  </w:num>
  <w:num w:numId="11">
    <w:abstractNumId w:val="17"/>
  </w:num>
  <w:num w:numId="12">
    <w:abstractNumId w:val="15"/>
  </w:num>
  <w:num w:numId="13">
    <w:abstractNumId w:val="12"/>
  </w:num>
  <w:num w:numId="14">
    <w:abstractNumId w:val="18"/>
  </w:num>
  <w:num w:numId="15">
    <w:abstractNumId w:val="14"/>
  </w:num>
  <w:num w:numId="16">
    <w:abstractNumId w:val="16"/>
  </w:num>
  <w:num w:numId="17">
    <w:abstractNumId w:val="10"/>
  </w:num>
  <w:num w:numId="18">
    <w:abstractNumId w:val="8"/>
  </w:num>
  <w:num w:numId="19">
    <w:abstractNumId w:val="7"/>
  </w:num>
  <w:num w:numId="20">
    <w:abstractNumId w:val="6"/>
  </w:num>
  <w:num w:numId="21">
    <w:abstractNumId w:val="5"/>
  </w:num>
  <w:num w:numId="22">
    <w:abstractNumId w:val="9"/>
  </w:num>
  <w:num w:numId="23">
    <w:abstractNumId w:val="4"/>
  </w:num>
  <w:num w:numId="24">
    <w:abstractNumId w:val="3"/>
  </w:num>
  <w:num w:numId="25">
    <w:abstractNumId w:val="2"/>
  </w:num>
  <w:num w:numId="26">
    <w:abstractNumId w:val="1"/>
  </w:num>
  <w:num w:numId="27">
    <w:abstractNumId w:val="11"/>
  </w:num>
  <w:num w:numId="28">
    <w:abstractNumId w:val="13"/>
  </w:num>
  <w:num w:numId="29">
    <w:abstractNumId w:val="17"/>
  </w:num>
  <w:num w:numId="30">
    <w:abstractNumId w:val="17"/>
  </w:num>
  <w:num w:numId="31">
    <w:abstractNumId w:val="17"/>
  </w:num>
  <w:num w:numId="32">
    <w:abstractNumId w:val="17"/>
  </w:num>
  <w:num w:numId="33">
    <w:abstractNumId w:val="17"/>
  </w:num>
  <w:num w:numId="34">
    <w:abstractNumId w:val="17"/>
  </w:num>
  <w:num w:numId="35">
    <w:abstractNumId w:val="17"/>
  </w:num>
  <w:num w:numId="36">
    <w:abstractNumId w:val="17"/>
  </w:num>
  <w:num w:numId="37">
    <w:abstractNumId w:val="17"/>
  </w:num>
  <w:num w:numId="38">
    <w:abstractNumId w:val="15"/>
  </w:num>
  <w:num w:numId="39">
    <w:abstractNumId w:val="12"/>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FB3"/>
    <w:rsid w:val="00033B96"/>
    <w:rsid w:val="00036A0B"/>
    <w:rsid w:val="000442B1"/>
    <w:rsid w:val="000560D9"/>
    <w:rsid w:val="00063A68"/>
    <w:rsid w:val="000642E6"/>
    <w:rsid w:val="00066637"/>
    <w:rsid w:val="0008530E"/>
    <w:rsid w:val="00096D3B"/>
    <w:rsid w:val="000A1D14"/>
    <w:rsid w:val="00107B91"/>
    <w:rsid w:val="00165C64"/>
    <w:rsid w:val="00173A6B"/>
    <w:rsid w:val="00180ABE"/>
    <w:rsid w:val="00187B89"/>
    <w:rsid w:val="001A2405"/>
    <w:rsid w:val="001C2C42"/>
    <w:rsid w:val="001E6C7E"/>
    <w:rsid w:val="001F3855"/>
    <w:rsid w:val="001F3E2B"/>
    <w:rsid w:val="002027F4"/>
    <w:rsid w:val="00212AB1"/>
    <w:rsid w:val="002331E2"/>
    <w:rsid w:val="00243955"/>
    <w:rsid w:val="00262645"/>
    <w:rsid w:val="00297A4B"/>
    <w:rsid w:val="002A657E"/>
    <w:rsid w:val="002E3E7F"/>
    <w:rsid w:val="00303A3F"/>
    <w:rsid w:val="00304E6B"/>
    <w:rsid w:val="00333C85"/>
    <w:rsid w:val="00355A89"/>
    <w:rsid w:val="003B2419"/>
    <w:rsid w:val="003D650F"/>
    <w:rsid w:val="003F25DC"/>
    <w:rsid w:val="00426BFE"/>
    <w:rsid w:val="00444BCE"/>
    <w:rsid w:val="004556D4"/>
    <w:rsid w:val="0045621C"/>
    <w:rsid w:val="00465495"/>
    <w:rsid w:val="00493566"/>
    <w:rsid w:val="00494847"/>
    <w:rsid w:val="004A383E"/>
    <w:rsid w:val="004A5BED"/>
    <w:rsid w:val="004E4A2B"/>
    <w:rsid w:val="004E7520"/>
    <w:rsid w:val="004F7E2C"/>
    <w:rsid w:val="00507420"/>
    <w:rsid w:val="00512A93"/>
    <w:rsid w:val="00513724"/>
    <w:rsid w:val="005567EC"/>
    <w:rsid w:val="00566ECD"/>
    <w:rsid w:val="00573CBE"/>
    <w:rsid w:val="00595782"/>
    <w:rsid w:val="005D6621"/>
    <w:rsid w:val="005D7E44"/>
    <w:rsid w:val="00605415"/>
    <w:rsid w:val="006076B8"/>
    <w:rsid w:val="00614CFC"/>
    <w:rsid w:val="0061725F"/>
    <w:rsid w:val="00642B5C"/>
    <w:rsid w:val="00653C71"/>
    <w:rsid w:val="00685245"/>
    <w:rsid w:val="00685A1B"/>
    <w:rsid w:val="00695C85"/>
    <w:rsid w:val="006F357D"/>
    <w:rsid w:val="007821FC"/>
    <w:rsid w:val="0078658C"/>
    <w:rsid w:val="00787E99"/>
    <w:rsid w:val="007B1656"/>
    <w:rsid w:val="007C0578"/>
    <w:rsid w:val="007C4F59"/>
    <w:rsid w:val="007C6AE1"/>
    <w:rsid w:val="007F184D"/>
    <w:rsid w:val="008005C6"/>
    <w:rsid w:val="008329EA"/>
    <w:rsid w:val="00845277"/>
    <w:rsid w:val="008463DE"/>
    <w:rsid w:val="008D1DF9"/>
    <w:rsid w:val="008D487F"/>
    <w:rsid w:val="008D73BE"/>
    <w:rsid w:val="008E2F94"/>
    <w:rsid w:val="008F0457"/>
    <w:rsid w:val="00913FB3"/>
    <w:rsid w:val="0092692F"/>
    <w:rsid w:val="00961011"/>
    <w:rsid w:val="00973160"/>
    <w:rsid w:val="00990686"/>
    <w:rsid w:val="009A180B"/>
    <w:rsid w:val="009A31C4"/>
    <w:rsid w:val="00A14B1C"/>
    <w:rsid w:val="00A20706"/>
    <w:rsid w:val="00A25180"/>
    <w:rsid w:val="00A42B19"/>
    <w:rsid w:val="00A44184"/>
    <w:rsid w:val="00AA2795"/>
    <w:rsid w:val="00AB263A"/>
    <w:rsid w:val="00AB3D69"/>
    <w:rsid w:val="00AE31AD"/>
    <w:rsid w:val="00AF0107"/>
    <w:rsid w:val="00B04AAC"/>
    <w:rsid w:val="00B12B65"/>
    <w:rsid w:val="00B14180"/>
    <w:rsid w:val="00B32C50"/>
    <w:rsid w:val="00B56F10"/>
    <w:rsid w:val="00BC6252"/>
    <w:rsid w:val="00BD434B"/>
    <w:rsid w:val="00BD461D"/>
    <w:rsid w:val="00BF48D6"/>
    <w:rsid w:val="00C00F19"/>
    <w:rsid w:val="00C030BC"/>
    <w:rsid w:val="00C15B4A"/>
    <w:rsid w:val="00C16DCA"/>
    <w:rsid w:val="00C32EF9"/>
    <w:rsid w:val="00C73F46"/>
    <w:rsid w:val="00CB0271"/>
    <w:rsid w:val="00CB66CC"/>
    <w:rsid w:val="00CD21C0"/>
    <w:rsid w:val="00CE7221"/>
    <w:rsid w:val="00CF6342"/>
    <w:rsid w:val="00D234FB"/>
    <w:rsid w:val="00D72F36"/>
    <w:rsid w:val="00D91B47"/>
    <w:rsid w:val="00DE7153"/>
    <w:rsid w:val="00DF7C48"/>
    <w:rsid w:val="00E00CA5"/>
    <w:rsid w:val="00E04270"/>
    <w:rsid w:val="00E1308C"/>
    <w:rsid w:val="00E2324E"/>
    <w:rsid w:val="00E5572A"/>
    <w:rsid w:val="00E752B4"/>
    <w:rsid w:val="00EB6901"/>
    <w:rsid w:val="00EC68DC"/>
    <w:rsid w:val="00ED76B6"/>
    <w:rsid w:val="00F1477E"/>
    <w:rsid w:val="00F6702D"/>
    <w:rsid w:val="00F75605"/>
    <w:rsid w:val="00F90ECD"/>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21C932"/>
  <w14:defaultImageDpi w14:val="330"/>
  <w15:chartTrackingRefBased/>
  <w15:docId w15:val="{1F26F345-6A37-42DE-97FA-CD03433C8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Verdana" w:hAnsi="Verdana" w:cs="Verdana"/>
      <w:sz w:val="18"/>
      <w:szCs w:val="18"/>
      <w:lang w:eastAsia="zh-CN"/>
    </w:rPr>
  </w:style>
  <w:style w:type="paragraph" w:styleId="Heading1">
    <w:name w:val="heading 1"/>
    <w:basedOn w:val="No-numheading1Agency"/>
    <w:next w:val="BodytextAgency"/>
    <w:qFormat/>
    <w:rPr>
      <w:noProof/>
    </w:rPr>
  </w:style>
  <w:style w:type="paragraph" w:styleId="Heading2">
    <w:name w:val="heading 2"/>
    <w:basedOn w:val="No-numheading2Agency"/>
    <w:next w:val="BodytextAgency"/>
    <w:qFormat/>
  </w:style>
  <w:style w:type="paragraph" w:styleId="Heading3">
    <w:name w:val="heading 3"/>
    <w:basedOn w:val="No-numheading3Agency"/>
    <w:next w:val="BodytextAgency"/>
    <w:qFormat/>
  </w:style>
  <w:style w:type="paragraph" w:styleId="Heading4">
    <w:name w:val="heading 4"/>
    <w:basedOn w:val="No-numheading4Agency"/>
    <w:next w:val="BodytextAgency"/>
    <w:qFormat/>
  </w:style>
  <w:style w:type="paragraph" w:styleId="Heading5">
    <w:name w:val="heading 5"/>
    <w:basedOn w:val="Normal"/>
    <w:next w:val="Normal"/>
    <w:qFormat/>
    <w:pPr>
      <w:keepNext/>
      <w:spacing w:before="280" w:after="220"/>
      <w:outlineLvl w:val="4"/>
    </w:pPr>
    <w:rPr>
      <w:rFonts w:eastAsia="Verdana" w:cs="Arial"/>
      <w:b/>
      <w:bCs/>
      <w:i/>
      <w:kern w:val="32"/>
      <w:lang w:eastAsia="en-GB"/>
    </w:rPr>
  </w:style>
  <w:style w:type="paragraph" w:styleId="Heading6">
    <w:name w:val="heading 6"/>
    <w:basedOn w:val="No-numheading6Agency"/>
    <w:next w:val="BodytextAgency"/>
    <w:qFormat/>
  </w:style>
  <w:style w:type="paragraph" w:styleId="Heading7">
    <w:name w:val="heading 7"/>
    <w:basedOn w:val="No-numheading7Agency"/>
    <w:next w:val="BodytextAgency"/>
    <w:qFormat/>
  </w:style>
  <w:style w:type="paragraph" w:styleId="Heading8">
    <w:name w:val="heading 8"/>
    <w:basedOn w:val="No-numheading8Agency"/>
    <w:next w:val="BodytextAgency"/>
    <w:qFormat/>
  </w:style>
  <w:style w:type="paragraph" w:styleId="Heading9">
    <w:name w:val="heading 9"/>
    <w:basedOn w:val="No-numheading9Agency"/>
    <w:next w:val="BodytextAgency"/>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numheading1Agency">
    <w:name w:val="No-num heading 1 (Agency)"/>
    <w:basedOn w:val="Normal"/>
    <w:next w:val="BodytextAgency"/>
    <w:pPr>
      <w:keepNext/>
      <w:spacing w:before="280" w:after="220"/>
      <w:outlineLvl w:val="0"/>
    </w:pPr>
    <w:rPr>
      <w:rFonts w:eastAsia="Verdana" w:cs="Arial"/>
      <w:b/>
      <w:bCs/>
      <w:kern w:val="32"/>
      <w:sz w:val="27"/>
      <w:szCs w:val="27"/>
      <w:lang w:eastAsia="en-GB"/>
    </w:rPr>
  </w:style>
  <w:style w:type="paragraph" w:customStyle="1" w:styleId="BodytextAgency">
    <w:name w:val="Body text (Agency)"/>
    <w:basedOn w:val="Normal"/>
    <w:pPr>
      <w:spacing w:after="140" w:line="280" w:lineRule="atLeast"/>
    </w:pPr>
    <w:rPr>
      <w:rFonts w:eastAsia="Verdana"/>
      <w:lang w:eastAsia="en-GB"/>
    </w:rPr>
  </w:style>
  <w:style w:type="paragraph" w:customStyle="1" w:styleId="No-numheading2Agency">
    <w:name w:val="No-num heading 2 (Agency)"/>
    <w:basedOn w:val="Normal"/>
    <w:next w:val="BodytextAgency"/>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pPr>
      <w:numPr>
        <w:ilvl w:val="0"/>
        <w:numId w:val="0"/>
      </w:numPr>
    </w:pPr>
  </w:style>
  <w:style w:type="paragraph" w:customStyle="1" w:styleId="Heading3Agency">
    <w:name w:val="Heading 3 (Agency)"/>
    <w:basedOn w:val="Normal"/>
    <w:next w:val="BodytextAgency"/>
    <w:pPr>
      <w:keepNext/>
      <w:numPr>
        <w:ilvl w:val="2"/>
        <w:numId w:val="37"/>
      </w:numPr>
      <w:spacing w:before="280" w:after="220"/>
      <w:outlineLvl w:val="2"/>
    </w:pPr>
    <w:rPr>
      <w:rFonts w:eastAsia="Verdana" w:cs="Arial"/>
      <w:b/>
      <w:bCs/>
      <w:kern w:val="32"/>
      <w:sz w:val="22"/>
      <w:szCs w:val="22"/>
      <w:lang w:eastAsia="en-GB"/>
    </w:rPr>
  </w:style>
  <w:style w:type="paragraph" w:customStyle="1" w:styleId="No-numheading4Agency">
    <w:name w:val="No-num heading 4 (Agency)"/>
    <w:basedOn w:val="Heading4Agency"/>
    <w:next w:val="BodytextAgency"/>
    <w:semiHidden/>
    <w:pPr>
      <w:numPr>
        <w:ilvl w:val="0"/>
        <w:numId w:val="0"/>
      </w:numPr>
    </w:pPr>
  </w:style>
  <w:style w:type="paragraph" w:customStyle="1" w:styleId="Heading4Agency">
    <w:name w:val="Heading 4 (Agency)"/>
    <w:basedOn w:val="Heading3Agency"/>
    <w:next w:val="BodytextAgency"/>
    <w:semiHidden/>
    <w:pPr>
      <w:numPr>
        <w:ilvl w:val="3"/>
      </w:numPr>
      <w:outlineLvl w:val="3"/>
    </w:pPr>
    <w:rPr>
      <w:i/>
      <w:sz w:val="18"/>
      <w:szCs w:val="18"/>
    </w:rPr>
  </w:style>
  <w:style w:type="paragraph" w:customStyle="1" w:styleId="No-numheading6Agency">
    <w:name w:val="No-num heading 6 (Agency)"/>
    <w:basedOn w:val="No-numheading5Agency"/>
    <w:next w:val="BodytextAgency"/>
    <w:semiHidden/>
    <w:pPr>
      <w:outlineLvl w:val="5"/>
    </w:pPr>
  </w:style>
  <w:style w:type="paragraph" w:customStyle="1" w:styleId="No-numheading5Agency">
    <w:name w:val="No-num heading 5 (Agency)"/>
    <w:basedOn w:val="Heading5Agency"/>
    <w:next w:val="BodytextAgency"/>
    <w:semiHidden/>
    <w:pPr>
      <w:numPr>
        <w:ilvl w:val="0"/>
        <w:numId w:val="0"/>
      </w:numPr>
    </w:pPr>
  </w:style>
  <w:style w:type="paragraph" w:customStyle="1" w:styleId="Heading5Agency">
    <w:name w:val="Heading 5 (Agency)"/>
    <w:basedOn w:val="Heading4Agency"/>
    <w:next w:val="BodytextAgency"/>
    <w:semiHidden/>
    <w:pPr>
      <w:numPr>
        <w:ilvl w:val="4"/>
      </w:numPr>
      <w:outlineLvl w:val="4"/>
    </w:pPr>
    <w:rPr>
      <w:i w:val="0"/>
    </w:rPr>
  </w:style>
  <w:style w:type="paragraph" w:customStyle="1" w:styleId="No-numheading7Agency">
    <w:name w:val="No-num heading 7 (Agency)"/>
    <w:basedOn w:val="No-numheading6Agency"/>
    <w:next w:val="BodytextAgency"/>
    <w:semiHidden/>
    <w:pPr>
      <w:outlineLvl w:val="6"/>
    </w:pPr>
  </w:style>
  <w:style w:type="paragraph" w:customStyle="1" w:styleId="No-numheading8Agency">
    <w:name w:val="No-num heading 8 (Agency)"/>
    <w:basedOn w:val="No-numheading7Agency"/>
    <w:next w:val="BodytextAgency"/>
    <w:semiHidden/>
    <w:pPr>
      <w:outlineLvl w:val="7"/>
    </w:pPr>
  </w:style>
  <w:style w:type="paragraph" w:customStyle="1" w:styleId="No-numheading9Agency">
    <w:name w:val="No-num heading 9 (Agency)"/>
    <w:basedOn w:val="No-numheading8Agency"/>
    <w:next w:val="BodytextAgency"/>
    <w:semiHidden/>
    <w:pPr>
      <w:outlineLvl w:val="8"/>
    </w:pPr>
  </w:style>
  <w:style w:type="paragraph" w:styleId="Footer">
    <w:name w:val="footer"/>
    <w:basedOn w:val="Normal"/>
    <w:semiHidden/>
    <w:pPr>
      <w:tabs>
        <w:tab w:val="center" w:pos="4536"/>
        <w:tab w:val="right" w:pos="8306"/>
      </w:tabs>
    </w:pPr>
    <w:rPr>
      <w:rFonts w:ascii="Arial" w:eastAsia="Times New Roman" w:hAnsi="Arial"/>
      <w:noProof/>
      <w:sz w:val="16"/>
      <w:szCs w:val="20"/>
      <w:lang w:eastAsia="en-US"/>
    </w:rPr>
  </w:style>
  <w:style w:type="paragraph" w:styleId="Header">
    <w:name w:val="header"/>
    <w:basedOn w:val="Normal"/>
    <w:semiHidden/>
    <w:pPr>
      <w:tabs>
        <w:tab w:val="center" w:pos="4153"/>
        <w:tab w:val="right" w:pos="8306"/>
      </w:tabs>
    </w:pPr>
    <w:rPr>
      <w:rFonts w:ascii="Arial" w:eastAsia="Times New Roman" w:hAnsi="Arial"/>
      <w:sz w:val="20"/>
      <w:szCs w:val="20"/>
      <w:lang w:eastAsia="en-US"/>
    </w:rPr>
  </w:style>
  <w:style w:type="character" w:styleId="PageNumber">
    <w:name w:val="page number"/>
    <w:basedOn w:val="DefaultParagraphFont"/>
    <w:semiHidden/>
  </w:style>
  <w:style w:type="paragraph" w:customStyle="1" w:styleId="FooterAgency">
    <w:name w:val="Footer (Agency)"/>
    <w:basedOn w:val="Normal"/>
    <w:semiHidden/>
    <w:rPr>
      <w:rFonts w:eastAsia="Verdana"/>
      <w:color w:val="6D6F71"/>
      <w:sz w:val="14"/>
      <w:szCs w:val="14"/>
      <w:lang w:eastAsia="en-GB"/>
    </w:rPr>
  </w:style>
  <w:style w:type="paragraph" w:customStyle="1" w:styleId="FooterblueAgency">
    <w:name w:val="Footer blue (Agency)"/>
    <w:basedOn w:val="Normal"/>
    <w:semiHidden/>
    <w:rPr>
      <w:rFonts w:eastAsia="Verdana"/>
      <w:b/>
      <w:color w:val="003399"/>
      <w:sz w:val="13"/>
      <w:szCs w:val="14"/>
      <w:lang w:eastAsia="en-GB"/>
    </w:rPr>
  </w:style>
  <w:style w:type="character" w:customStyle="1" w:styleId="FooterAgencyCharChar">
    <w:name w:val="Footer (Agency) Char Char"/>
    <w:semiHidden/>
    <w:rPr>
      <w:rFonts w:ascii="Verdana" w:eastAsia="Verdana" w:hAnsi="Verdana" w:cs="Verdana"/>
      <w:color w:val="6D6F71"/>
      <w:sz w:val="14"/>
      <w:szCs w:val="14"/>
      <w:lang w:val="en-GB" w:eastAsia="en-GB" w:bidi="ar-SA"/>
    </w:rPr>
  </w:style>
  <w:style w:type="paragraph" w:customStyle="1" w:styleId="PagenumberAgency">
    <w:name w:val="Page number (Agency)"/>
    <w:basedOn w:val="Normal"/>
    <w:next w:val="Normal"/>
    <w:semiHidden/>
    <w:pPr>
      <w:tabs>
        <w:tab w:val="right" w:pos="9781"/>
      </w:tabs>
      <w:jc w:val="right"/>
    </w:pPr>
    <w:rPr>
      <w:rFonts w:eastAsia="Verdana"/>
      <w:color w:val="6D6F71"/>
      <w:sz w:val="14"/>
      <w:szCs w:val="14"/>
      <w:lang w:eastAsia="en-GB"/>
    </w:rPr>
  </w:style>
  <w:style w:type="character" w:customStyle="1" w:styleId="PagenumberAgencyCharChar">
    <w:name w:val="Page number (Agency) Char Char"/>
    <w:basedOn w:val="FooterAgencyCharChar"/>
    <w:rPr>
      <w:rFonts w:ascii="Verdana" w:eastAsia="Verdana" w:hAnsi="Verdana" w:cs="Verdana"/>
      <w:color w:val="6D6F71"/>
      <w:sz w:val="14"/>
      <w:szCs w:val="14"/>
      <w:lang w:val="en-GB" w:eastAsia="en-GB" w:bidi="ar-SA"/>
    </w:rPr>
  </w:style>
  <w:style w:type="character" w:customStyle="1" w:styleId="FooterblueAgencyCharChar">
    <w:name w:val="Footer blue (Agency) Char Char"/>
    <w:semiHidden/>
    <w:rPr>
      <w:rFonts w:ascii="Verdana" w:eastAsia="Verdana" w:hAnsi="Verdana" w:cs="Verdana"/>
      <w:b/>
      <w:color w:val="003399"/>
      <w:sz w:val="13"/>
      <w:szCs w:val="14"/>
      <w:lang w:val="en-GB" w:eastAsia="en-GB" w:bidi="ar-SA"/>
    </w:rPr>
  </w:style>
  <w:style w:type="paragraph" w:styleId="BodyText">
    <w:name w:val="Body Text"/>
    <w:basedOn w:val="Normal"/>
    <w:semiHidden/>
    <w:pPr>
      <w:spacing w:after="140" w:line="280" w:lineRule="atLeast"/>
    </w:pPr>
  </w:style>
  <w:style w:type="paragraph" w:customStyle="1" w:styleId="DisclaimerAgency">
    <w:name w:val="Disclaimer (Agency)"/>
    <w:basedOn w:val="Normal"/>
    <w:semiHidden/>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al"/>
    <w:next w:val="BodytextAgency"/>
    <w:pPr>
      <w:spacing w:after="640" w:line="360" w:lineRule="atLeast"/>
    </w:pPr>
    <w:rPr>
      <w:rFonts w:eastAsia="Verdana"/>
      <w:sz w:val="24"/>
      <w:szCs w:val="24"/>
      <w:lang w:eastAsia="en-GB"/>
    </w:rPr>
  </w:style>
  <w:style w:type="paragraph" w:customStyle="1" w:styleId="DoctitleAgency">
    <w:name w:val="Doc title (Agency)"/>
    <w:basedOn w:val="Normal"/>
    <w:next w:val="DocsubtitleAgency"/>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semiHidden/>
    <w:rPr>
      <w:rFonts w:ascii="Verdana" w:hAnsi="Verdana"/>
      <w:vertAlign w:val="superscript"/>
    </w:rPr>
  </w:style>
  <w:style w:type="character" w:customStyle="1" w:styleId="EndnotereferenceAgency">
    <w:name w:val="Endnote reference (Agency)"/>
    <w:semiHidden/>
    <w:rPr>
      <w:rFonts w:ascii="Verdana" w:hAnsi="Verdana"/>
      <w:vertAlign w:val="superscript"/>
    </w:rPr>
  </w:style>
  <w:style w:type="paragraph" w:styleId="EndnoteText">
    <w:name w:val="endnote text"/>
    <w:basedOn w:val="Normal"/>
    <w:semiHidden/>
    <w:rPr>
      <w:rFonts w:eastAsia="Verdana"/>
      <w:sz w:val="15"/>
      <w:szCs w:val="15"/>
      <w:lang w:eastAsia="en-GB"/>
    </w:rPr>
  </w:style>
  <w:style w:type="paragraph" w:customStyle="1" w:styleId="EndnotetextAgency">
    <w:name w:val="Endnote text (Agency)"/>
    <w:basedOn w:val="Normal"/>
    <w:semiHidden/>
    <w:rPr>
      <w:rFonts w:eastAsia="Verdana"/>
      <w:sz w:val="15"/>
      <w:lang w:eastAsia="en-GB"/>
    </w:rPr>
  </w:style>
  <w:style w:type="paragraph" w:customStyle="1" w:styleId="FigureAgency">
    <w:name w:val="Figure (Agency)"/>
    <w:basedOn w:val="Normal"/>
    <w:next w:val="BodytextAgency"/>
    <w:semiHidden/>
    <w:pPr>
      <w:jc w:val="center"/>
    </w:pPr>
  </w:style>
  <w:style w:type="paragraph" w:customStyle="1" w:styleId="FigureheadingAgency">
    <w:name w:val="Figure heading (Agency)"/>
    <w:basedOn w:val="Normal"/>
    <w:next w:val="FigureAgency"/>
    <w:semiHidden/>
    <w:pPr>
      <w:keepNext/>
      <w:numPr>
        <w:numId w:val="28"/>
      </w:numPr>
      <w:spacing w:before="240" w:after="120"/>
    </w:pPr>
  </w:style>
  <w:style w:type="character" w:styleId="FootnoteReference">
    <w:name w:val="footnote reference"/>
    <w:semiHidden/>
    <w:rPr>
      <w:rFonts w:ascii="Verdana" w:hAnsi="Verdana"/>
      <w:vertAlign w:val="superscript"/>
    </w:rPr>
  </w:style>
  <w:style w:type="character" w:customStyle="1" w:styleId="FootnotereferenceAgency">
    <w:name w:val="Footnote reference (Agency)"/>
    <w:semiHidden/>
    <w:rPr>
      <w:rFonts w:ascii="Verdana" w:hAnsi="Verdana"/>
      <w:color w:val="auto"/>
      <w:vertAlign w:val="superscript"/>
    </w:rPr>
  </w:style>
  <w:style w:type="paragraph" w:styleId="FootnoteText">
    <w:name w:val="footnote text"/>
    <w:basedOn w:val="Normal"/>
    <w:semiHidden/>
    <w:rPr>
      <w:rFonts w:eastAsia="Verdana"/>
      <w:sz w:val="15"/>
      <w:szCs w:val="20"/>
      <w:lang w:eastAsia="en-GB"/>
    </w:rPr>
  </w:style>
  <w:style w:type="paragraph" w:customStyle="1" w:styleId="FootnotetextAgency">
    <w:name w:val="Footnote text (Agency)"/>
    <w:basedOn w:val="Normal"/>
    <w:semiHidden/>
    <w:rPr>
      <w:rFonts w:eastAsia="Verdana"/>
      <w:sz w:val="15"/>
      <w:lang w:eastAsia="en-GB"/>
    </w:rPr>
  </w:style>
  <w:style w:type="paragraph" w:customStyle="1" w:styleId="HeaderAgency">
    <w:name w:val="Header (Agency)"/>
    <w:basedOn w:val="Normal"/>
    <w:semiHidden/>
    <w:rPr>
      <w:rFonts w:eastAsia="Verdana"/>
      <w:lang w:eastAsia="en-GB"/>
    </w:rPr>
  </w:style>
  <w:style w:type="paragraph" w:customStyle="1" w:styleId="Heading1Agency">
    <w:name w:val="Heading 1 (Agency)"/>
    <w:basedOn w:val="Normal"/>
    <w:next w:val="BodytextAgency"/>
    <w:pPr>
      <w:keepNext/>
      <w:numPr>
        <w:numId w:val="37"/>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pPr>
      <w:keepNext/>
      <w:numPr>
        <w:ilvl w:val="1"/>
        <w:numId w:val="37"/>
      </w:numPr>
      <w:spacing w:before="280" w:after="220"/>
      <w:outlineLvl w:val="1"/>
    </w:pPr>
    <w:rPr>
      <w:rFonts w:eastAsia="Verdana" w:cs="Arial"/>
      <w:b/>
      <w:bCs/>
      <w:i/>
      <w:kern w:val="32"/>
      <w:sz w:val="22"/>
      <w:szCs w:val="22"/>
      <w:lang w:eastAsia="en-GB"/>
    </w:rPr>
  </w:style>
  <w:style w:type="paragraph" w:customStyle="1" w:styleId="Heading6Agency">
    <w:name w:val="Heading 6 (Agency)"/>
    <w:basedOn w:val="Heading5Agency"/>
    <w:next w:val="BodytextAgency"/>
    <w:semiHidden/>
    <w:pPr>
      <w:numPr>
        <w:ilvl w:val="5"/>
      </w:numPr>
      <w:outlineLvl w:val="5"/>
    </w:pPr>
  </w:style>
  <w:style w:type="paragraph" w:customStyle="1" w:styleId="Heading7Agency">
    <w:name w:val="Heading 7 (Agency)"/>
    <w:basedOn w:val="Heading6Agency"/>
    <w:next w:val="BodytextAgency"/>
    <w:semiHidden/>
    <w:pPr>
      <w:numPr>
        <w:ilvl w:val="6"/>
      </w:numPr>
      <w:outlineLvl w:val="6"/>
    </w:pPr>
  </w:style>
  <w:style w:type="paragraph" w:customStyle="1" w:styleId="Heading8Agency">
    <w:name w:val="Heading 8 (Agency)"/>
    <w:basedOn w:val="Heading7Agency"/>
    <w:next w:val="BodytextAgency"/>
    <w:semiHidden/>
    <w:pPr>
      <w:numPr>
        <w:ilvl w:val="7"/>
      </w:numPr>
      <w:outlineLvl w:val="7"/>
    </w:pPr>
  </w:style>
  <w:style w:type="paragraph" w:customStyle="1" w:styleId="Heading9Agency">
    <w:name w:val="Heading 9 (Agency)"/>
    <w:basedOn w:val="Heading8Agency"/>
    <w:next w:val="BodytextAgency"/>
    <w:semiHidden/>
    <w:pPr>
      <w:numPr>
        <w:ilvl w:val="8"/>
      </w:numPr>
      <w:outlineLvl w:val="8"/>
    </w:pPr>
  </w:style>
  <w:style w:type="paragraph" w:customStyle="1" w:styleId="NormalAgency">
    <w:name w:val="Normal (Agency)"/>
    <w:rPr>
      <w:rFonts w:ascii="Verdana" w:eastAsia="Verdana" w:hAnsi="Verdana" w:cs="Verdana"/>
      <w:sz w:val="18"/>
      <w:szCs w:val="18"/>
    </w:rPr>
  </w:style>
  <w:style w:type="paragraph" w:customStyle="1" w:styleId="No-TOCheadingAgency">
    <w:name w:val="No-TOC heading (Agency)"/>
    <w:basedOn w:val="Normal"/>
    <w:next w:val="Normal"/>
    <w:pPr>
      <w:keepNext/>
      <w:spacing w:before="280" w:after="220"/>
    </w:pPr>
    <w:rPr>
      <w:rFonts w:eastAsia="Times New Roman" w:cs="Arial"/>
      <w:b/>
      <w:kern w:val="32"/>
      <w:sz w:val="27"/>
      <w:szCs w:val="27"/>
      <w:lang w:eastAsia="en-GB"/>
    </w:rPr>
  </w:style>
  <w:style w:type="paragraph" w:customStyle="1" w:styleId="RefAgency">
    <w:name w:val="Ref. (Agency)"/>
    <w:basedOn w:val="Normal"/>
    <w:semiHidden/>
    <w:rPr>
      <w:rFonts w:eastAsia="Times New Roman" w:cs="Times New Roman"/>
      <w:sz w:val="17"/>
      <w:lang w:eastAsia="en-GB"/>
    </w:rPr>
  </w:style>
  <w:style w:type="paragraph" w:customStyle="1" w:styleId="TablefirstrowAgency">
    <w:name w:val="Table first row (Agency)"/>
    <w:basedOn w:val="BodytextAgency"/>
    <w:semiHidden/>
    <w:pPr>
      <w:keepNext/>
    </w:pPr>
    <w:rPr>
      <w:rFonts w:eastAsia="Times New Roman"/>
      <w:b/>
    </w:rPr>
  </w:style>
  <w:style w:type="paragraph" w:customStyle="1" w:styleId="TableheadingAgency">
    <w:name w:val="Table heading (Agency)"/>
    <w:basedOn w:val="Normal"/>
    <w:next w:val="BodytextAgency"/>
    <w:semiHidden/>
    <w:pPr>
      <w:keepNext/>
      <w:numPr>
        <w:numId w:val="39"/>
      </w:numPr>
      <w:spacing w:before="240" w:after="120"/>
    </w:pPr>
  </w:style>
  <w:style w:type="paragraph" w:customStyle="1" w:styleId="TableheadingrowsAgency">
    <w:name w:val="Table heading rows (Agency)"/>
    <w:basedOn w:val="BodytextAgency"/>
    <w:semiHidden/>
    <w:pPr>
      <w:keepNext/>
    </w:pPr>
    <w:rPr>
      <w:rFonts w:eastAsia="Times New Roman"/>
      <w:b/>
    </w:rPr>
  </w:style>
  <w:style w:type="paragraph" w:customStyle="1" w:styleId="TabletextrowsAgency">
    <w:name w:val="Table text rows (Agency)"/>
    <w:basedOn w:val="Normal"/>
    <w:pPr>
      <w:spacing w:line="280" w:lineRule="exact"/>
    </w:pPr>
    <w:rPr>
      <w:rFonts w:eastAsia="Times New Roman"/>
    </w:rPr>
  </w:style>
  <w:style w:type="paragraph" w:customStyle="1" w:styleId="TableFigurenoteAgency">
    <w:name w:val="Table/Figure note (Agency)"/>
    <w:basedOn w:val="BodytextAgency"/>
    <w:next w:val="BodytextAgency"/>
    <w:pPr>
      <w:spacing w:before="60" w:after="240" w:line="240" w:lineRule="auto"/>
    </w:pPr>
    <w:rPr>
      <w:sz w:val="16"/>
      <w:szCs w:val="16"/>
    </w:rPr>
  </w:style>
  <w:style w:type="paragraph" w:styleId="TOC1">
    <w:name w:val="toc 1"/>
    <w:basedOn w:val="Normal"/>
    <w:next w:val="BodytextAgency"/>
    <w:semiHidden/>
    <w:pPr>
      <w:keepNext/>
      <w:tabs>
        <w:tab w:val="right" w:leader="dot" w:pos="9401"/>
      </w:tabs>
      <w:spacing w:before="140" w:after="57" w:line="240" w:lineRule="atLeast"/>
    </w:pPr>
    <w:rPr>
      <w:rFonts w:eastAsia="Verdana"/>
      <w:b/>
      <w:noProof/>
      <w:sz w:val="22"/>
      <w:szCs w:val="22"/>
      <w:lang w:eastAsia="en-GB"/>
    </w:rPr>
  </w:style>
  <w:style w:type="paragraph" w:styleId="TOC2">
    <w:name w:val="toc 2"/>
    <w:basedOn w:val="Normal"/>
    <w:next w:val="BodytextAgency"/>
    <w:semiHidden/>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semiHidden/>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semiHidden/>
    <w:pPr>
      <w:tabs>
        <w:tab w:val="right" w:leader="dot" w:pos="9401"/>
      </w:tabs>
      <w:spacing w:after="57" w:line="240" w:lineRule="atLeast"/>
    </w:pPr>
    <w:rPr>
      <w:noProof/>
      <w:sz w:val="20"/>
    </w:rPr>
  </w:style>
  <w:style w:type="paragraph" w:styleId="TOC5">
    <w:name w:val="toc 5"/>
    <w:basedOn w:val="Normal"/>
    <w:next w:val="BodytextAgency"/>
    <w:semiHidden/>
    <w:pPr>
      <w:tabs>
        <w:tab w:val="right" w:leader="dot" w:pos="9401"/>
      </w:tabs>
      <w:spacing w:after="57" w:line="240" w:lineRule="atLeast"/>
    </w:pPr>
    <w:rPr>
      <w:noProof/>
      <w:sz w:val="20"/>
    </w:rPr>
  </w:style>
  <w:style w:type="paragraph" w:styleId="TOC6">
    <w:name w:val="toc 6"/>
    <w:basedOn w:val="Normal"/>
    <w:next w:val="BodytextAgency"/>
    <w:autoRedefine/>
    <w:semiHidden/>
    <w:pPr>
      <w:spacing w:after="57" w:line="240" w:lineRule="exact"/>
    </w:pPr>
    <w:rPr>
      <w:rFonts w:eastAsia="Times New Roman"/>
    </w:rPr>
  </w:style>
  <w:style w:type="paragraph" w:styleId="TOC7">
    <w:name w:val="toc 7"/>
    <w:basedOn w:val="Normal"/>
    <w:next w:val="BodytextAgency"/>
    <w:semiHidden/>
    <w:pPr>
      <w:spacing w:after="57" w:line="240" w:lineRule="exact"/>
    </w:pPr>
    <w:rPr>
      <w:rFonts w:eastAsia="Times New Roman"/>
    </w:rPr>
  </w:style>
  <w:style w:type="paragraph" w:styleId="TOC8">
    <w:name w:val="toc 8"/>
    <w:basedOn w:val="Normal"/>
    <w:next w:val="BodytextAgency"/>
    <w:semiHidden/>
    <w:pPr>
      <w:spacing w:after="57" w:line="240" w:lineRule="exact"/>
    </w:pPr>
    <w:rPr>
      <w:rFonts w:eastAsia="Times New Roman"/>
    </w:rPr>
  </w:style>
  <w:style w:type="paragraph" w:styleId="TOC9">
    <w:name w:val="toc 9"/>
    <w:basedOn w:val="Normal"/>
    <w:next w:val="BodytextAgency"/>
    <w:semiHidden/>
    <w:pPr>
      <w:spacing w:after="57" w:line="240" w:lineRule="exact"/>
    </w:pPr>
    <w:rPr>
      <w:rFonts w:eastAsia="Times New Roman"/>
    </w:rPr>
  </w:style>
  <w:style w:type="paragraph" w:styleId="BalloonText">
    <w:name w:val="Balloon Text"/>
    <w:basedOn w:val="Normal"/>
    <w:semiHidden/>
    <w:rPr>
      <w:rFonts w:ascii="Tahoma" w:hAnsi="Tahoma" w:cs="Tahoma"/>
      <w:sz w:val="16"/>
      <w:szCs w:val="16"/>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spacing w:after="120" w:line="240" w:lineRule="auto"/>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aption">
    <w:name w:val="caption"/>
    <w:basedOn w:val="Normal"/>
    <w:next w:val="Normal"/>
    <w:qFormat/>
    <w:rPr>
      <w:b/>
      <w:bCs/>
      <w:sz w:val="20"/>
      <w:szCs w:val="20"/>
    </w:rPr>
  </w:style>
  <w:style w:type="paragraph" w:styleId="Closing">
    <w:name w:val="Closing"/>
    <w:basedOn w:val="Normal"/>
    <w:semiHidden/>
    <w:pPr>
      <w:ind w:left="4252"/>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style>
  <w:style w:type="character" w:styleId="Emphasis">
    <w:name w:val="Emphasis"/>
    <w:qFormat/>
    <w:rPr>
      <w:i/>
      <w:i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szCs w:val="20"/>
    </w:rPr>
  </w:style>
  <w:style w:type="character" w:styleId="FollowedHyperlink">
    <w:name w:val="FollowedHyperlink"/>
    <w:semiHidden/>
    <w:rPr>
      <w:color w:val="800080"/>
      <w:u w:val="single"/>
    </w:r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semiHidden/>
    <w:rPr>
      <w:color w:val="0000FF"/>
      <w:u w:val="single"/>
    </w:rPr>
  </w:style>
  <w:style w:type="paragraph" w:styleId="Index1">
    <w:name w:val="index 1"/>
    <w:basedOn w:val="Normal"/>
    <w:next w:val="Normal"/>
    <w:semiHidden/>
    <w:pPr>
      <w:ind w:left="180" w:hanging="180"/>
    </w:pPr>
  </w:style>
  <w:style w:type="paragraph" w:styleId="Index2">
    <w:name w:val="index 2"/>
    <w:basedOn w:val="Normal"/>
    <w:next w:val="Normal"/>
    <w:semiHidden/>
    <w:pPr>
      <w:ind w:left="360" w:hanging="180"/>
    </w:pPr>
  </w:style>
  <w:style w:type="paragraph" w:styleId="Index3">
    <w:name w:val="index 3"/>
    <w:basedOn w:val="Normal"/>
    <w:next w:val="Normal"/>
    <w:semiHidden/>
    <w:pPr>
      <w:ind w:left="540" w:hanging="180"/>
    </w:pPr>
  </w:style>
  <w:style w:type="paragraph" w:styleId="Index4">
    <w:name w:val="index 4"/>
    <w:basedOn w:val="Normal"/>
    <w:next w:val="Normal"/>
    <w:semiHidden/>
    <w:pPr>
      <w:ind w:left="720" w:hanging="180"/>
    </w:pPr>
  </w:style>
  <w:style w:type="paragraph" w:styleId="Index5">
    <w:name w:val="index 5"/>
    <w:basedOn w:val="Normal"/>
    <w:next w:val="Normal"/>
    <w:semiHidden/>
    <w:pPr>
      <w:ind w:left="900" w:hanging="180"/>
    </w:pPr>
  </w:style>
  <w:style w:type="paragraph" w:styleId="Index6">
    <w:name w:val="index 6"/>
    <w:basedOn w:val="Normal"/>
    <w:next w:val="Normal"/>
    <w:semiHidden/>
    <w:pPr>
      <w:ind w:left="1080" w:hanging="180"/>
    </w:pPr>
  </w:style>
  <w:style w:type="paragraph" w:styleId="Index7">
    <w:name w:val="index 7"/>
    <w:basedOn w:val="Normal"/>
    <w:next w:val="Normal"/>
    <w:semiHidden/>
    <w:pPr>
      <w:ind w:left="1260" w:hanging="180"/>
    </w:pPr>
  </w:style>
  <w:style w:type="paragraph" w:styleId="Index8">
    <w:name w:val="index 8"/>
    <w:basedOn w:val="Normal"/>
    <w:next w:val="Normal"/>
    <w:semiHidden/>
    <w:pPr>
      <w:ind w:left="1440" w:hanging="180"/>
    </w:pPr>
  </w:style>
  <w:style w:type="paragraph" w:styleId="Index9">
    <w:name w:val="index 9"/>
    <w:basedOn w:val="Normal"/>
    <w:next w:val="Normal"/>
    <w:semiHidden/>
    <w:pPr>
      <w:ind w:left="1620" w:hanging="180"/>
    </w:pPr>
  </w:style>
  <w:style w:type="paragraph" w:styleId="IndexHeading">
    <w:name w:val="index heading"/>
    <w:basedOn w:val="Normal"/>
    <w:next w:val="Index1"/>
    <w:semiHidden/>
    <w:rPr>
      <w:rFonts w:ascii="Arial" w:hAnsi="Arial" w:cs="Arial"/>
      <w:b/>
      <w:bCs/>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semiHidden/>
    <w:pPr>
      <w:numPr>
        <w:numId w:val="17"/>
      </w:numPr>
    </w:pPr>
  </w:style>
  <w:style w:type="paragraph" w:styleId="ListBullet2">
    <w:name w:val="List Bullet 2"/>
    <w:basedOn w:val="Normal"/>
    <w:semiHidden/>
    <w:pPr>
      <w:numPr>
        <w:numId w:val="18"/>
      </w:numPr>
    </w:pPr>
  </w:style>
  <w:style w:type="paragraph" w:styleId="ListBullet3">
    <w:name w:val="List Bullet 3"/>
    <w:basedOn w:val="Normal"/>
    <w:semiHidden/>
    <w:pPr>
      <w:numPr>
        <w:numId w:val="19"/>
      </w:numPr>
    </w:pPr>
  </w:style>
  <w:style w:type="paragraph" w:styleId="ListBullet4">
    <w:name w:val="List Bullet 4"/>
    <w:basedOn w:val="Normal"/>
    <w:semiHidden/>
    <w:pPr>
      <w:numPr>
        <w:numId w:val="20"/>
      </w:numPr>
    </w:pPr>
  </w:style>
  <w:style w:type="paragraph" w:styleId="ListBullet5">
    <w:name w:val="List Bullet 5"/>
    <w:basedOn w:val="Normal"/>
    <w:semiHidden/>
    <w:pPr>
      <w:numPr>
        <w:numId w:val="21"/>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2"/>
      </w:numPr>
    </w:pPr>
  </w:style>
  <w:style w:type="paragraph" w:styleId="ListNumber2">
    <w:name w:val="List Number 2"/>
    <w:basedOn w:val="Normal"/>
    <w:semiHidden/>
    <w:pPr>
      <w:numPr>
        <w:numId w:val="23"/>
      </w:numPr>
    </w:pPr>
  </w:style>
  <w:style w:type="paragraph" w:styleId="ListNumber3">
    <w:name w:val="List Number 3"/>
    <w:basedOn w:val="Normal"/>
    <w:semiHidden/>
    <w:pPr>
      <w:numPr>
        <w:numId w:val="24"/>
      </w:numPr>
    </w:pPr>
  </w:style>
  <w:style w:type="paragraph" w:styleId="ListNumber4">
    <w:name w:val="List Number 4"/>
    <w:basedOn w:val="Normal"/>
    <w:semiHidden/>
    <w:pPr>
      <w:numPr>
        <w:numId w:val="25"/>
      </w:numPr>
    </w:pPr>
  </w:style>
  <w:style w:type="paragraph" w:styleId="ListNumber5">
    <w:name w:val="List Number 5"/>
    <w:basedOn w:val="Normal"/>
    <w:semiHidden/>
    <w:pPr>
      <w:numPr>
        <w:numId w:val="26"/>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zh-CN"/>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Pr>
      <w:rFonts w:ascii="Times New Roman" w:hAnsi="Times New Roman" w:cs="Times New Roman"/>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180" w:hanging="180"/>
    </w:pPr>
  </w:style>
  <w:style w:type="paragraph" w:styleId="TableofFigures">
    <w:name w:val="table of figures"/>
    <w:basedOn w:val="Normal"/>
    <w:next w:val="Normal"/>
    <w:semiHidden/>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character" w:customStyle="1" w:styleId="DocsubtitleAgencyChar">
    <w:name w:val="Doc subtitle (Agency) Char"/>
    <w:rPr>
      <w:rFonts w:ascii="Verdana" w:eastAsia="Verdana" w:hAnsi="Verdana" w:cs="Verdana"/>
      <w:sz w:val="24"/>
      <w:szCs w:val="24"/>
      <w:lang w:val="en-GB" w:eastAsia="en-GB" w:bidi="ar-SA"/>
    </w:rPr>
  </w:style>
  <w:style w:type="character" w:customStyle="1" w:styleId="BodytextAgencyChar">
    <w:name w:val="Body text (Agency) Char"/>
    <w:rPr>
      <w:rFonts w:ascii="Verdana" w:eastAsia="Verdana" w:hAnsi="Verdana" w:cs="Verdana"/>
      <w:sz w:val="18"/>
      <w:szCs w:val="18"/>
      <w:lang w:val="en-GB" w:eastAsia="en-GB" w:bidi="ar-SA"/>
    </w:rPr>
  </w:style>
  <w:style w:type="paragraph" w:customStyle="1" w:styleId="StyleTableheadingrowsAgencyNotBoldItalicSeaGreen">
    <w:name w:val="Style Table heading rows (Agency) + Not Bold Italic Sea Green"/>
    <w:basedOn w:val="TableheadingrowsAgency"/>
    <w:rPr>
      <w:b w:val="0"/>
      <w:i/>
      <w:iCs/>
      <w:color w:val="7BBBB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111804">
      <w:bodyDiv w:val="1"/>
      <w:marLeft w:val="0"/>
      <w:marRight w:val="0"/>
      <w:marTop w:val="0"/>
      <w:marBottom w:val="0"/>
      <w:divBdr>
        <w:top w:val="none" w:sz="0" w:space="0" w:color="auto"/>
        <w:left w:val="none" w:sz="0" w:space="0" w:color="auto"/>
        <w:bottom w:val="none" w:sz="0" w:space="0" w:color="auto"/>
        <w:right w:val="none" w:sz="0" w:space="0" w:color="auto"/>
      </w:divBdr>
    </w:div>
    <w:div w:id="1434015232">
      <w:bodyDiv w:val="1"/>
      <w:marLeft w:val="0"/>
      <w:marRight w:val="0"/>
      <w:marTop w:val="0"/>
      <w:marBottom w:val="0"/>
      <w:divBdr>
        <w:top w:val="none" w:sz="0" w:space="0" w:color="auto"/>
        <w:left w:val="none" w:sz="0" w:space="0" w:color="auto"/>
        <w:bottom w:val="none" w:sz="0" w:space="0" w:color="auto"/>
        <w:right w:val="none" w:sz="0" w:space="0" w:color="auto"/>
      </w:divBdr>
    </w:div>
    <w:div w:id="1638491891">
      <w:bodyDiv w:val="1"/>
      <w:marLeft w:val="0"/>
      <w:marRight w:val="0"/>
      <w:marTop w:val="0"/>
      <w:marBottom w:val="0"/>
      <w:divBdr>
        <w:top w:val="none" w:sz="0" w:space="0" w:color="auto"/>
        <w:left w:val="none" w:sz="0" w:space="0" w:color="auto"/>
        <w:bottom w:val="none" w:sz="0" w:space="0" w:color="auto"/>
        <w:right w:val="none" w:sz="0" w:space="0" w:color="auto"/>
      </w:divBdr>
    </w:div>
    <w:div w:id="214041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B49446A1D4E644AC98EA641DA1E365" ma:contentTypeVersion="15" ma:contentTypeDescription="Create a new document." ma:contentTypeScope="" ma:versionID="7c9b8534dcb75b526819e7216b749515">
  <xsd:schema xmlns:xsd="http://www.w3.org/2001/XMLSchema" xmlns:xs="http://www.w3.org/2001/XMLSchema" xmlns:p="http://schemas.microsoft.com/office/2006/metadata/properties" xmlns:ns1="http://schemas.microsoft.com/sharepoint/v3" xmlns:ns3="62a066fe-7d70-4ee1-9728-7173489e1827" xmlns:ns4="c6eface4-1604-41fd-b28c-35ff3afacca9" targetNamespace="http://schemas.microsoft.com/office/2006/metadata/properties" ma:root="true" ma:fieldsID="0066ccdfa4b5f5667d7c41e14731c813" ns1:_="" ns3:_="" ns4:_="">
    <xsd:import namespace="http://schemas.microsoft.com/sharepoint/v3"/>
    <xsd:import namespace="62a066fe-7d70-4ee1-9728-7173489e1827"/>
    <xsd:import namespace="c6eface4-1604-41fd-b28c-35ff3afacca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a066fe-7d70-4ee1-9728-7173489e18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eface4-1604-41fd-b28c-35ff3afacca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0EA7709-517B-42E8-AB17-E526722B6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a066fe-7d70-4ee1-9728-7173489e1827"/>
    <ds:schemaRef ds:uri="c6eface4-1604-41fd-b28c-35ff3afacc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5C4921-0090-402F-9556-FC18D66DDDAA}">
  <ds:schemaRefs>
    <ds:schemaRef ds:uri="http://schemas.microsoft.com/sharepoint/v3/contenttype/forms"/>
  </ds:schemaRefs>
</ds:datastoreItem>
</file>

<file path=customXml/itemProps3.xml><?xml version="1.0" encoding="utf-8"?>
<ds:datastoreItem xmlns:ds="http://schemas.openxmlformats.org/officeDocument/2006/customXml" ds:itemID="{3ABF99BF-4804-4C05-BEE0-2652522C2DC7}">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572</Words>
  <Characters>3263</Characters>
  <Application>Microsoft Office Word</Application>
  <DocSecurity>0</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Form for submission of comments</vt:lpstr>
      <vt:lpstr>Form for submission of comments</vt:lpstr>
    </vt:vector>
  </TitlesOfParts>
  <Company>European Medicines Agency</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for submission of comments</dc:title>
  <dc:subject/>
  <dc:creator>European Medicines Agency</dc:creator>
  <cp:keywords/>
  <dc:description>Template developed for European Medicines Agency by Fiona Lewis and Vanessa Crookes December 2009</dc:description>
  <cp:lastModifiedBy>Microsoft Office User</cp:lastModifiedBy>
  <cp:revision>2</cp:revision>
  <cp:lastPrinted>2010-02-03T14:38:00Z</cp:lastPrinted>
  <dcterms:created xsi:type="dcterms:W3CDTF">2021-01-08T10:31:00Z</dcterms:created>
  <dcterms:modified xsi:type="dcterms:W3CDTF">2021-01-08T10:31:00Z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emea_meeting_flags">
    <vt:lpwstr/>
  </property>
  <property fmtid="{D5CDD505-2E9C-101B-9397-08002B2CF9AE}" pid="3" name="DM_emea_meeting_ref">
    <vt:lpwstr/>
  </property>
  <property fmtid="{D5CDD505-2E9C-101B-9397-08002B2CF9AE}" pid="4" name="DM_emea_meeting_title">
    <vt:lpwstr/>
  </property>
  <property fmtid="{D5CDD505-2E9C-101B-9397-08002B2CF9AE}" pid="5" name="DM_emea_meeting_hyperlink">
    <vt:lpwstr/>
  </property>
  <property fmtid="{D5CDD505-2E9C-101B-9397-08002B2CF9AE}" pid="6" name="DM_emea_meeting_action">
    <vt:lpwstr/>
  </property>
  <property fmtid="{D5CDD505-2E9C-101B-9397-08002B2CF9AE}" pid="7" name="DM_emea_meeting_status">
    <vt:lpwstr/>
  </property>
  <property fmtid="{D5CDD505-2E9C-101B-9397-08002B2CF9AE}" pid="8" name="DM_emea_doc_lang">
    <vt:lpwstr/>
  </property>
  <property fmtid="{D5CDD505-2E9C-101B-9397-08002B2CF9AE}" pid="9" name="DM_emea_sent_date">
    <vt:lpwstr>nulldate</vt:lpwstr>
  </property>
  <property fmtid="{D5CDD505-2E9C-101B-9397-08002B2CF9AE}" pid="10" name="DM_emea_year">
    <vt:lpwstr>2005</vt:lpwstr>
  </property>
  <property fmtid="{D5CDD505-2E9C-101B-9397-08002B2CF9AE}" pid="11" name="DM_emea_legal_date">
    <vt:lpwstr>nulldate</vt:lpwstr>
  </property>
  <property fmtid="{D5CDD505-2E9C-101B-9397-08002B2CF9AE}" pid="12" name="DM_emea_internal_label">
    <vt:lpwstr>EMA</vt:lpwstr>
  </property>
  <property fmtid="{D5CDD505-2E9C-101B-9397-08002B2CF9AE}" pid="13" name="DM_emea_from">
    <vt:lpwstr/>
  </property>
  <property fmtid="{D5CDD505-2E9C-101B-9397-08002B2CF9AE}" pid="14" name="DM_emea_doc_category">
    <vt:lpwstr>Comments</vt:lpwstr>
  </property>
  <property fmtid="{D5CDD505-2E9C-101B-9397-08002B2CF9AE}" pid="15" name="DM_emea_bcc">
    <vt:lpwstr/>
  </property>
  <property fmtid="{D5CDD505-2E9C-101B-9397-08002B2CF9AE}" pid="16" name="DM_emea_to">
    <vt:lpwstr/>
  </property>
  <property fmtid="{D5CDD505-2E9C-101B-9397-08002B2CF9AE}" pid="17" name="DM_emea_revision_label">
    <vt:lpwstr/>
  </property>
  <property fmtid="{D5CDD505-2E9C-101B-9397-08002B2CF9AE}" pid="18" name="DM_emea_resp_body">
    <vt:lpwstr/>
  </property>
  <property fmtid="{D5CDD505-2E9C-101B-9397-08002B2CF9AE}" pid="19" name="DM_emea_received_date">
    <vt:lpwstr>nulldate</vt:lpwstr>
  </property>
  <property fmtid="{D5CDD505-2E9C-101B-9397-08002B2CF9AE}" pid="20" name="DM_emea_doc_number">
    <vt:lpwstr>293958</vt:lpwstr>
  </property>
  <property fmtid="{D5CDD505-2E9C-101B-9397-08002B2CF9AE}" pid="21" name="DM_emea_message_subject">
    <vt:lpwstr/>
  </property>
  <property fmtid="{D5CDD505-2E9C-101B-9397-08002B2CF9AE}" pid="22" name="DM_emea_cc">
    <vt:lpwstr/>
  </property>
  <property fmtid="{D5CDD505-2E9C-101B-9397-08002B2CF9AE}" pid="23" name="DM_Type">
    <vt:lpwstr>emea_document</vt:lpwstr>
  </property>
  <property fmtid="{D5CDD505-2E9C-101B-9397-08002B2CF9AE}" pid="24" name="DM_Modified_Date">
    <vt:lpwstr>02/02/2010 18:25:13</vt:lpwstr>
  </property>
  <property fmtid="{D5CDD505-2E9C-101B-9397-08002B2CF9AE}" pid="25" name="DM_Modifer_Name">
    <vt:lpwstr>Hearfield Neil</vt:lpwstr>
  </property>
  <property fmtid="{D5CDD505-2E9C-101B-9397-08002B2CF9AE}" pid="26" name="DM_Creator_Name">
    <vt:lpwstr>Hearfield Neil</vt:lpwstr>
  </property>
  <property fmtid="{D5CDD505-2E9C-101B-9397-08002B2CF9AE}" pid="27" name="DM_Creation_Date">
    <vt:lpwstr>02/02/2010 18:25:13</vt:lpwstr>
  </property>
  <property fmtid="{D5CDD505-2E9C-101B-9397-08002B2CF9AE}" pid="28" name="DM_Owner">
    <vt:lpwstr>Schumacher Dunja</vt:lpwstr>
  </property>
  <property fmtid="{D5CDD505-2E9C-101B-9397-08002B2CF9AE}" pid="29" name="DM_Name">
    <vt:lpwstr>Submission of comments form</vt:lpwstr>
  </property>
  <property fmtid="{D5CDD505-2E9C-101B-9397-08002B2CF9AE}" pid="30" name="DM_Language">
    <vt:lpwstr/>
  </property>
  <property fmtid="{D5CDD505-2E9C-101B-9397-08002B2CF9AE}" pid="31" name="DM_Title">
    <vt:lpwstr/>
  </property>
  <property fmtid="{D5CDD505-2E9C-101B-9397-08002B2CF9AE}" pid="32" name="DM_Subject">
    <vt:lpwstr>Comments-EMA/293958/2005</vt:lpwstr>
  </property>
  <property fmtid="{D5CDD505-2E9C-101B-9397-08002B2CF9AE}" pid="33" name="DM_Keywords">
    <vt:lpwstr/>
  </property>
  <property fmtid="{D5CDD505-2E9C-101B-9397-08002B2CF9AE}" pid="34" name="DM_Authors">
    <vt:lpwstr/>
  </property>
  <property fmtid="{D5CDD505-2E9C-101B-9397-08002B2CF9AE}" pid="35" name="DM_Status">
    <vt:lpwstr/>
  </property>
  <property fmtid="{D5CDD505-2E9C-101B-9397-08002B2CF9AE}" pid="36" name="DM_version">
    <vt:lpwstr>3.0, CURRENT, Ready for publication</vt:lpwstr>
  </property>
  <property fmtid="{D5CDD505-2E9C-101B-9397-08002B2CF9AE}" pid="37" name="DM_emea_doc_ref_id">
    <vt:lpwstr>EMA/293958/2005</vt:lpwstr>
  </property>
  <property fmtid="{D5CDD505-2E9C-101B-9397-08002B2CF9AE}" pid="38" name="ContentTypeId">
    <vt:lpwstr>0x0101002AB49446A1D4E644AC98EA641DA1E365</vt:lpwstr>
  </property>
</Properties>
</file>