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5A8D3" w14:textId="6E0B4ECC" w:rsidR="00352F2C" w:rsidRPr="00644ABC" w:rsidRDefault="00352F2C" w:rsidP="00644ABC">
      <w:pPr>
        <w:rPr>
          <w:b/>
          <w:color w:val="31808B"/>
          <w:sz w:val="32"/>
          <w:szCs w:val="32"/>
        </w:rPr>
      </w:pPr>
      <w:r w:rsidRPr="00644ABC">
        <w:rPr>
          <w:b/>
          <w:color w:val="31808B"/>
          <w:sz w:val="32"/>
          <w:szCs w:val="32"/>
        </w:rPr>
        <w:t xml:space="preserve">EFPIA responses </w:t>
      </w:r>
      <w:r w:rsidR="00644ABC" w:rsidRPr="00644ABC">
        <w:rPr>
          <w:b/>
          <w:color w:val="31808B"/>
          <w:sz w:val="32"/>
          <w:szCs w:val="32"/>
        </w:rPr>
        <w:t>to</w:t>
      </w:r>
      <w:r w:rsidRPr="00644ABC">
        <w:rPr>
          <w:b/>
          <w:color w:val="31808B"/>
          <w:sz w:val="32"/>
          <w:szCs w:val="32"/>
        </w:rPr>
        <w:t xml:space="preserve"> EDQM proposed text</w:t>
      </w:r>
      <w:r w:rsidR="00644ABC" w:rsidRPr="00644ABC">
        <w:rPr>
          <w:b/>
          <w:color w:val="31808B"/>
          <w:sz w:val="32"/>
          <w:szCs w:val="32"/>
        </w:rPr>
        <w:t>s</w:t>
      </w:r>
      <w:r w:rsidRPr="00644ABC">
        <w:rPr>
          <w:b/>
          <w:color w:val="31808B"/>
          <w:sz w:val="32"/>
          <w:szCs w:val="32"/>
        </w:rPr>
        <w:t xml:space="preserve"> published in </w:t>
      </w:r>
      <w:proofErr w:type="spellStart"/>
      <w:r w:rsidRPr="00644ABC">
        <w:rPr>
          <w:b/>
          <w:color w:val="31808B"/>
          <w:sz w:val="32"/>
          <w:szCs w:val="32"/>
        </w:rPr>
        <w:t>Pharmeuropa</w:t>
      </w:r>
      <w:proofErr w:type="spellEnd"/>
      <w:r w:rsidRPr="00644ABC">
        <w:rPr>
          <w:b/>
          <w:color w:val="31808B"/>
          <w:sz w:val="32"/>
          <w:szCs w:val="32"/>
        </w:rPr>
        <w:t xml:space="preserve"> 32.2 for plastics</w:t>
      </w:r>
    </w:p>
    <w:p w14:paraId="0FFA7FBF" w14:textId="77777777" w:rsidR="00352F2C" w:rsidRPr="00644ABC" w:rsidRDefault="00352F2C" w:rsidP="00644ABC">
      <w:pPr>
        <w:pStyle w:val="ListParagraph"/>
        <w:numPr>
          <w:ilvl w:val="0"/>
          <w:numId w:val="28"/>
        </w:numPr>
        <w:rPr>
          <w:rFonts w:asciiTheme="minorHAnsi" w:hAnsiTheme="minorHAnsi" w:cstheme="minorHAnsi"/>
        </w:rPr>
      </w:pPr>
      <w:r w:rsidRPr="00644ABC">
        <w:rPr>
          <w:rFonts w:asciiTheme="minorHAnsi" w:hAnsiTheme="minorHAnsi" w:cstheme="minorHAnsi"/>
        </w:rPr>
        <w:t>2.4.35. EXTRACTABLE ELEMENTS IN PLASTIC MATERIALS FOR PHARMACEUTICAL USE</w:t>
      </w:r>
    </w:p>
    <w:p w14:paraId="180374BE" w14:textId="77777777" w:rsidR="00352F2C" w:rsidRPr="00644ABC" w:rsidRDefault="00352F2C" w:rsidP="00644ABC">
      <w:pPr>
        <w:pStyle w:val="ListParagraph"/>
        <w:rPr>
          <w:rFonts w:asciiTheme="minorHAnsi" w:hAnsiTheme="minorHAnsi" w:cstheme="minorHAnsi"/>
        </w:rPr>
      </w:pPr>
      <w:r w:rsidRPr="00644ABC">
        <w:rPr>
          <w:rFonts w:asciiTheme="minorHAnsi" w:hAnsiTheme="minorHAnsi" w:cstheme="minorHAnsi"/>
        </w:rPr>
        <w:t>Reference PA/PH/Exp. 16/T (19) 22 ANP</w:t>
      </w:r>
    </w:p>
    <w:p w14:paraId="57A252E5" w14:textId="77777777" w:rsidR="00352F2C" w:rsidRPr="00644ABC" w:rsidRDefault="00352F2C" w:rsidP="00644ABC">
      <w:pPr>
        <w:pStyle w:val="ListParagraph"/>
        <w:numPr>
          <w:ilvl w:val="0"/>
          <w:numId w:val="28"/>
        </w:numPr>
        <w:rPr>
          <w:rFonts w:asciiTheme="minorHAnsi" w:hAnsiTheme="minorHAnsi" w:cstheme="minorHAnsi"/>
        </w:rPr>
      </w:pPr>
      <w:r w:rsidRPr="00644ABC">
        <w:rPr>
          <w:rFonts w:asciiTheme="minorHAnsi" w:hAnsiTheme="minorHAnsi" w:cstheme="minorHAnsi"/>
        </w:rPr>
        <w:t>3.1.16. CYCLO-OLEFIN POLYMERS</w:t>
      </w:r>
    </w:p>
    <w:p w14:paraId="09530C09" w14:textId="77777777" w:rsidR="00352F2C" w:rsidRPr="00644ABC" w:rsidRDefault="00352F2C" w:rsidP="00644ABC">
      <w:pPr>
        <w:pStyle w:val="ListParagraph"/>
        <w:rPr>
          <w:rFonts w:asciiTheme="minorHAnsi" w:hAnsiTheme="minorHAnsi" w:cstheme="minorHAnsi"/>
        </w:rPr>
      </w:pPr>
      <w:r w:rsidRPr="00644ABC">
        <w:rPr>
          <w:rFonts w:asciiTheme="minorHAnsi" w:hAnsiTheme="minorHAnsi" w:cstheme="minorHAnsi"/>
        </w:rPr>
        <w:t>Reference PA/PH/Exp. 16/T (16) 15 ANP</w:t>
      </w:r>
    </w:p>
    <w:p w14:paraId="52017DE0" w14:textId="77777777" w:rsidR="00352F2C" w:rsidRPr="00644ABC" w:rsidRDefault="00352F2C" w:rsidP="00644ABC">
      <w:pPr>
        <w:pStyle w:val="ListParagraph"/>
        <w:numPr>
          <w:ilvl w:val="0"/>
          <w:numId w:val="28"/>
        </w:numPr>
        <w:rPr>
          <w:rFonts w:asciiTheme="minorHAnsi" w:hAnsiTheme="minorHAnsi" w:cstheme="minorHAnsi"/>
        </w:rPr>
      </w:pPr>
      <w:r w:rsidRPr="00644ABC">
        <w:rPr>
          <w:rFonts w:asciiTheme="minorHAnsi" w:hAnsiTheme="minorHAnsi" w:cstheme="minorHAnsi"/>
        </w:rPr>
        <w:t>3.1.17. CYCLO-OLEFIN COPOLYMERS</w:t>
      </w:r>
    </w:p>
    <w:p w14:paraId="19326805" w14:textId="412BFCDC" w:rsidR="00644ABC" w:rsidRDefault="00352F2C" w:rsidP="00644ABC">
      <w:pPr>
        <w:pStyle w:val="ListParagraph"/>
        <w:rPr>
          <w:rFonts w:asciiTheme="minorHAnsi" w:hAnsiTheme="minorHAnsi" w:cstheme="minorHAnsi"/>
        </w:rPr>
      </w:pPr>
      <w:r w:rsidRPr="00644ABC">
        <w:rPr>
          <w:rFonts w:asciiTheme="minorHAnsi" w:hAnsiTheme="minorHAnsi" w:cstheme="minorHAnsi"/>
        </w:rPr>
        <w:t>Reference PA/PH/Exp. 16/T (19) 17 ANP</w:t>
      </w:r>
    </w:p>
    <w:p w14:paraId="4F904DF3" w14:textId="77777777" w:rsidR="00644ABC" w:rsidRPr="00644ABC" w:rsidRDefault="00644ABC" w:rsidP="00644ABC">
      <w:pPr>
        <w:pStyle w:val="ListParagraph"/>
        <w:rPr>
          <w:rFonts w:asciiTheme="minorHAnsi" w:hAnsiTheme="minorHAnsi" w:cstheme="minorHAnsi"/>
        </w:rPr>
      </w:pPr>
    </w:p>
    <w:p w14:paraId="76D2505E" w14:textId="18DA2170" w:rsidR="00D26C35" w:rsidRPr="00DA51ED" w:rsidRDefault="00D26C35" w:rsidP="00D26C35">
      <w:pPr>
        <w:tabs>
          <w:tab w:val="left" w:pos="1454"/>
          <w:tab w:val="right" w:pos="4859"/>
        </w:tabs>
        <w:jc w:val="both"/>
        <w:rPr>
          <w:bCs/>
        </w:rPr>
      </w:pPr>
      <w:r w:rsidRPr="00DA51ED">
        <w:rPr>
          <w:b/>
          <w:bCs/>
          <w:noProof/>
          <w:color w:val="31808B"/>
          <w:lang w:eastAsia="en-GB"/>
        </w:rPr>
        <w:drawing>
          <wp:inline distT="0" distB="0" distL="0" distR="0" wp14:anchorId="7D62284C" wp14:editId="39B0D915">
            <wp:extent cx="114913" cy="1179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rotWithShape="1">
                    <a:blip r:embed="rId12"/>
                    <a:srcRect t="-6105" b="6105"/>
                    <a:stretch/>
                  </pic:blipFill>
                  <pic:spPr>
                    <a:xfrm>
                      <a:off x="0" y="0"/>
                      <a:ext cx="114913" cy="117937"/>
                    </a:xfrm>
                    <a:prstGeom prst="rect">
                      <a:avLst/>
                    </a:prstGeom>
                  </pic:spPr>
                </pic:pic>
              </a:graphicData>
            </a:graphic>
          </wp:inline>
        </w:drawing>
      </w:r>
      <w:r w:rsidRPr="00DA51ED">
        <w:rPr>
          <w:b/>
          <w:bCs/>
          <w:color w:val="31808B"/>
        </w:rPr>
        <w:t xml:space="preserve"> </w:t>
      </w:r>
      <w:r w:rsidRPr="00D26C35">
        <w:rPr>
          <w:rStyle w:val="Heading1Char"/>
          <w:rFonts w:asciiTheme="minorHAnsi" w:hAnsiTheme="minorHAnsi"/>
          <w:color w:val="31808B"/>
          <w:sz w:val="22"/>
          <w:szCs w:val="22"/>
        </w:rPr>
        <w:t>Date:</w:t>
      </w:r>
      <w:r w:rsidRPr="00D26C35">
        <w:rPr>
          <w:b/>
          <w:bCs/>
          <w:color w:val="31808B"/>
        </w:rPr>
        <w:t xml:space="preserve"> </w:t>
      </w:r>
      <w:r w:rsidR="003D6C33">
        <w:t>2</w:t>
      </w:r>
      <w:r w:rsidR="001A7EF2">
        <w:t>6</w:t>
      </w:r>
      <w:r w:rsidR="00F05C3D">
        <w:t>/</w:t>
      </w:r>
      <w:r w:rsidR="00AE094A">
        <w:t>0</w:t>
      </w:r>
      <w:r w:rsidR="003D6C33">
        <w:t>6</w:t>
      </w:r>
      <w:r w:rsidR="00F05C3D">
        <w:t>/20</w:t>
      </w:r>
      <w:r w:rsidR="00856E32">
        <w:t>2</w:t>
      </w:r>
      <w:r w:rsidR="00AE094A">
        <w:t>0</w:t>
      </w:r>
      <w:r w:rsidRPr="00D26C35">
        <w:rPr>
          <w:b/>
          <w:bCs/>
          <w:color w:val="31808B"/>
        </w:rPr>
        <w:t xml:space="preserve"> </w:t>
      </w:r>
      <w:r w:rsidRPr="00D26C35">
        <w:rPr>
          <w:b/>
          <w:bCs/>
          <w:noProof/>
          <w:color w:val="31808B"/>
          <w:lang w:eastAsia="en-GB"/>
        </w:rPr>
        <w:drawing>
          <wp:inline distT="0" distB="0" distL="0" distR="0" wp14:anchorId="5084BCA4" wp14:editId="0F45BA65">
            <wp:extent cx="114913" cy="117937"/>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png"/>
                    <pic:cNvPicPr/>
                  </pic:nvPicPr>
                  <pic:blipFill rotWithShape="1">
                    <a:blip r:embed="rId12"/>
                    <a:srcRect t="-6105" b="6105"/>
                    <a:stretch/>
                  </pic:blipFill>
                  <pic:spPr>
                    <a:xfrm>
                      <a:off x="0" y="0"/>
                      <a:ext cx="114913" cy="117937"/>
                    </a:xfrm>
                    <a:prstGeom prst="rect">
                      <a:avLst/>
                    </a:prstGeom>
                  </pic:spPr>
                </pic:pic>
              </a:graphicData>
            </a:graphic>
          </wp:inline>
        </w:drawing>
      </w:r>
      <w:r w:rsidRPr="00D26C35">
        <w:rPr>
          <w:b/>
          <w:bCs/>
          <w:color w:val="31808B"/>
        </w:rPr>
        <w:t xml:space="preserve"> </w:t>
      </w:r>
      <w:r w:rsidRPr="00D26C35">
        <w:rPr>
          <w:rStyle w:val="Heading1Char"/>
          <w:rFonts w:asciiTheme="minorHAnsi" w:hAnsiTheme="minorHAnsi"/>
          <w:color w:val="31808B"/>
          <w:sz w:val="22"/>
          <w:szCs w:val="22"/>
        </w:rPr>
        <w:t>Version:</w:t>
      </w:r>
      <w:r w:rsidRPr="00D26C35">
        <w:rPr>
          <w:b/>
          <w:bCs/>
          <w:color w:val="31808B"/>
        </w:rPr>
        <w:t xml:space="preserve"> </w:t>
      </w:r>
      <w:r w:rsidR="001A7EF2">
        <w:rPr>
          <w:bCs/>
        </w:rPr>
        <w:t>Final</w:t>
      </w:r>
    </w:p>
    <w:p w14:paraId="548BB8F4" w14:textId="530CB3CF" w:rsidR="00352F2C" w:rsidRPr="006F034D" w:rsidRDefault="00352F2C" w:rsidP="00644ABC">
      <w:pPr>
        <w:pStyle w:val="Heading1"/>
        <w:numPr>
          <w:ilvl w:val="0"/>
          <w:numId w:val="29"/>
        </w:numPr>
        <w:rPr>
          <w:rFonts w:asciiTheme="minorHAnsi" w:hAnsiTheme="minorHAnsi" w:cstheme="minorHAnsi"/>
          <w:color w:val="31808B"/>
          <w:sz w:val="28"/>
          <w:szCs w:val="28"/>
        </w:rPr>
      </w:pPr>
      <w:r w:rsidRPr="006F034D">
        <w:rPr>
          <w:rFonts w:asciiTheme="minorHAnsi" w:hAnsiTheme="minorHAnsi" w:cstheme="minorHAnsi"/>
          <w:color w:val="31808B"/>
          <w:sz w:val="28"/>
          <w:szCs w:val="28"/>
        </w:rPr>
        <w:t>General Comments</w:t>
      </w:r>
    </w:p>
    <w:p w14:paraId="612A58CF" w14:textId="211DA461" w:rsidR="004F4264" w:rsidRDefault="004F4264" w:rsidP="004F4264">
      <w:r>
        <w:t xml:space="preserve">EFPIA would like to submit the following comments on the proposed new general chapters </w:t>
      </w:r>
      <w:proofErr w:type="spellStart"/>
      <w:r>
        <w:t>Ph.Eur</w:t>
      </w:r>
      <w:proofErr w:type="spellEnd"/>
      <w:r>
        <w:t>. 2.4.35, 3.1.16 and 3.1.17 for consideration by EDQM.</w:t>
      </w:r>
    </w:p>
    <w:p w14:paraId="0F43566A" w14:textId="73178B21" w:rsidR="00352F2C" w:rsidRDefault="00352F2C" w:rsidP="00352F2C">
      <w:r>
        <w:t xml:space="preserve">EFPIA is concerned </w:t>
      </w:r>
      <w:r w:rsidR="004F4264">
        <w:t>that</w:t>
      </w:r>
      <w:r>
        <w:t xml:space="preserve"> the new general chapter 2.4.35 </w:t>
      </w:r>
      <w:r w:rsidR="004F4264">
        <w:t>is not aligned with</w:t>
      </w:r>
      <w:r>
        <w:t xml:space="preserve"> </w:t>
      </w:r>
      <w:r w:rsidR="004F4264">
        <w:t xml:space="preserve">the </w:t>
      </w:r>
      <w:r>
        <w:t>ICH Q3D</w:t>
      </w:r>
      <w:r w:rsidR="004F4264">
        <w:t xml:space="preserve"> Guideline</w:t>
      </w:r>
      <w:r>
        <w:t>. The risk</w:t>
      </w:r>
      <w:r w:rsidR="003227A2">
        <w:t>-</w:t>
      </w:r>
      <w:r>
        <w:t xml:space="preserve"> based approach</w:t>
      </w:r>
      <w:r w:rsidR="007D382A">
        <w:t xml:space="preserve"> and consideration of applicable limits in</w:t>
      </w:r>
      <w:r>
        <w:t xml:space="preserve"> ICH Q3D should be applied </w:t>
      </w:r>
      <w:r w:rsidR="007D382A">
        <w:t>in the development of this chapter.</w:t>
      </w:r>
      <w:r>
        <w:t xml:space="preserve"> </w:t>
      </w:r>
    </w:p>
    <w:p w14:paraId="2556D7F5" w14:textId="33EB37AA" w:rsidR="00352F2C" w:rsidRDefault="00352F2C" w:rsidP="00352F2C">
      <w:r>
        <w:t xml:space="preserve">Packaging materials were considered during the development of ICH Q3D and </w:t>
      </w:r>
      <w:r w:rsidR="007D382A">
        <w:t>we understand the Expert Working Group</w:t>
      </w:r>
      <w:r>
        <w:t xml:space="preserve"> considered</w:t>
      </w:r>
      <w:r w:rsidR="007D382A">
        <w:t xml:space="preserve"> these</w:t>
      </w:r>
      <w:r>
        <w:t xml:space="preserve"> to be of very low risk with respect to the potential for elemental contamination to products and </w:t>
      </w:r>
      <w:r w:rsidR="007D382A">
        <w:t>risk to</w:t>
      </w:r>
      <w:r>
        <w:t xml:space="preserve"> </w:t>
      </w:r>
      <w:r w:rsidR="007D382A">
        <w:t xml:space="preserve">the </w:t>
      </w:r>
      <w:r>
        <w:t xml:space="preserve">health </w:t>
      </w:r>
      <w:r w:rsidR="007D382A">
        <w:t>of</w:t>
      </w:r>
      <w:r>
        <w:t xml:space="preserve"> patients. This new chapter implies there is a </w:t>
      </w:r>
      <w:r w:rsidR="007D382A">
        <w:t xml:space="preserve">significant </w:t>
      </w:r>
      <w:r>
        <w:t>risk</w:t>
      </w:r>
      <w:r w:rsidR="00992F1E">
        <w:t xml:space="preserve"> </w:t>
      </w:r>
      <w:r w:rsidR="002025D9">
        <w:t xml:space="preserve">and </w:t>
      </w:r>
      <w:r w:rsidR="00992F1E">
        <w:t>uses inappropriate methodology to evaluate the risk of leachable elemental impurities</w:t>
      </w:r>
      <w:r w:rsidR="002025D9">
        <w:t>.</w:t>
      </w:r>
      <w:r w:rsidR="00D24C34" w:rsidRPr="00D24C34">
        <w:t xml:space="preserve"> </w:t>
      </w:r>
      <w:r w:rsidR="00D24C34">
        <w:t>A water extraction approach would be more appropriate to evaluate the potential for leachable elemental impurities than the aggressive extraction procedure described in the proposed new chapter.</w:t>
      </w:r>
    </w:p>
    <w:p w14:paraId="2B19F5F1" w14:textId="67230C7E" w:rsidR="00352F2C" w:rsidRDefault="00352F2C" w:rsidP="00352F2C">
      <w:r>
        <w:t xml:space="preserve">EFPIA believes chapter </w:t>
      </w:r>
      <w:r w:rsidR="002025D9">
        <w:t xml:space="preserve">2.4.35 </w:t>
      </w:r>
      <w:r w:rsidR="00992F1E">
        <w:t xml:space="preserve">requires significant revision before inclusion in the </w:t>
      </w:r>
      <w:proofErr w:type="spellStart"/>
      <w:r w:rsidR="00992F1E">
        <w:t>Ph.Eur</w:t>
      </w:r>
      <w:proofErr w:type="spellEnd"/>
      <w:r w:rsidR="00992F1E">
        <w:t>.</w:t>
      </w:r>
      <w:r w:rsidR="002025D9">
        <w:t xml:space="preserve"> </w:t>
      </w:r>
      <w:r>
        <w:t>EFPIA recognises the</w:t>
      </w:r>
      <w:r w:rsidR="00992F1E">
        <w:t xml:space="preserve"> scientific </w:t>
      </w:r>
      <w:r>
        <w:t xml:space="preserve">work </w:t>
      </w:r>
      <w:r w:rsidR="00992F1E">
        <w:t>underpinning development of</w:t>
      </w:r>
      <w:r>
        <w:t xml:space="preserve"> this chapter </w:t>
      </w:r>
      <w:r w:rsidR="002025D9">
        <w:t xml:space="preserve">but </w:t>
      </w:r>
      <w:r>
        <w:t>suggest</w:t>
      </w:r>
      <w:r w:rsidR="00992F1E">
        <w:t>s</w:t>
      </w:r>
      <w:r>
        <w:t xml:space="preserve"> </w:t>
      </w:r>
      <w:r w:rsidR="00992F1E">
        <w:t>it wo</w:t>
      </w:r>
      <w:r>
        <w:t xml:space="preserve">uld be </w:t>
      </w:r>
      <w:r w:rsidR="002025D9">
        <w:t xml:space="preserve">better </w:t>
      </w:r>
      <w:r>
        <w:t xml:space="preserve">presented as a </w:t>
      </w:r>
      <w:r w:rsidR="002025D9">
        <w:t>S</w:t>
      </w:r>
      <w:r>
        <w:t xml:space="preserve">cientific </w:t>
      </w:r>
      <w:r w:rsidR="002025D9">
        <w:t>N</w:t>
      </w:r>
      <w:r>
        <w:t xml:space="preserve">ote </w:t>
      </w:r>
      <w:r w:rsidR="00992F1E">
        <w:t>rather</w:t>
      </w:r>
      <w:r>
        <w:t xml:space="preserve"> as a chapter in the </w:t>
      </w:r>
      <w:proofErr w:type="spellStart"/>
      <w:r>
        <w:t>Ph</w:t>
      </w:r>
      <w:r w:rsidR="00992F1E">
        <w:t>.</w:t>
      </w:r>
      <w:r>
        <w:t>Eur</w:t>
      </w:r>
      <w:proofErr w:type="spellEnd"/>
      <w:r>
        <w:t xml:space="preserve">. </w:t>
      </w:r>
    </w:p>
    <w:p w14:paraId="46A31BF5" w14:textId="7FBB659D" w:rsidR="00C574F7" w:rsidRDefault="00C574F7" w:rsidP="00352F2C">
      <w:r>
        <w:t xml:space="preserve">EFPIA would support the development of chapter 2.4.35 as a suitable analytical procedure to assess elemental impurities that might </w:t>
      </w:r>
      <w:r w:rsidRPr="00904682">
        <w:rPr>
          <w:u w:val="single"/>
        </w:rPr>
        <w:t>leach</w:t>
      </w:r>
      <w:r>
        <w:t xml:space="preserve"> from plastic materials using a realistic aqueous medium and protocol, but without limits for such impurities. EFPIA believes that such an approach </w:t>
      </w:r>
      <w:r w:rsidR="00E103D4">
        <w:t>c</w:t>
      </w:r>
      <w:r>
        <w:t>ould be helpful to the users of the pharmacopoeia and consistent with ICH Q3D.</w:t>
      </w:r>
    </w:p>
    <w:p w14:paraId="40DF1F58" w14:textId="1CEBA033" w:rsidR="00352F2C" w:rsidRDefault="00352F2C" w:rsidP="00352F2C">
      <w:r>
        <w:t xml:space="preserve">With respect to the new texts on Cyclo-olefin polymers and copolymers EFPIA appreciates the need for these two chapters but believes the sections on extractable elemental impurities should be removed </w:t>
      </w:r>
      <w:r w:rsidR="00D24C34">
        <w:t xml:space="preserve">because they are not consistent with </w:t>
      </w:r>
      <w:r>
        <w:t>ICH Q3D</w:t>
      </w:r>
      <w:r w:rsidR="00D24C34">
        <w:t>.</w:t>
      </w:r>
      <w:r>
        <w:t xml:space="preserve"> EFPIA believes a simple cross reference to </w:t>
      </w:r>
      <w:proofErr w:type="spellStart"/>
      <w:r>
        <w:lastRenderedPageBreak/>
        <w:t>Ph</w:t>
      </w:r>
      <w:r w:rsidR="000F266A">
        <w:t>.</w:t>
      </w:r>
      <w:r>
        <w:t>Eur</w:t>
      </w:r>
      <w:proofErr w:type="spellEnd"/>
      <w:r w:rsidR="000F266A">
        <w:t>.</w:t>
      </w:r>
      <w:r>
        <w:t xml:space="preserve"> chapter 2.4.20 and ICH Q3D </w:t>
      </w:r>
      <w:r w:rsidR="00C574F7">
        <w:t xml:space="preserve">(or a revised 2.4.35 as described above) </w:t>
      </w:r>
      <w:r w:rsidR="00D24C34">
        <w:t>would be sufficient</w:t>
      </w:r>
      <w:r>
        <w:t xml:space="preserve"> in these texts.</w:t>
      </w:r>
    </w:p>
    <w:p w14:paraId="4AC2440A" w14:textId="1C9A2309" w:rsidR="00352F2C" w:rsidRPr="006F034D" w:rsidRDefault="00644ABC" w:rsidP="00644ABC">
      <w:pPr>
        <w:pStyle w:val="Heading1"/>
        <w:numPr>
          <w:ilvl w:val="0"/>
          <w:numId w:val="29"/>
        </w:numPr>
        <w:rPr>
          <w:rFonts w:asciiTheme="minorHAnsi" w:hAnsiTheme="minorHAnsi" w:cstheme="minorHAnsi"/>
          <w:color w:val="31808B"/>
          <w:sz w:val="28"/>
          <w:szCs w:val="28"/>
        </w:rPr>
      </w:pPr>
      <w:r w:rsidRPr="006F034D">
        <w:rPr>
          <w:rFonts w:asciiTheme="minorHAnsi" w:hAnsiTheme="minorHAnsi" w:cstheme="minorHAnsi"/>
          <w:color w:val="31808B"/>
          <w:sz w:val="28"/>
          <w:szCs w:val="28"/>
        </w:rPr>
        <w:t>Detailed</w:t>
      </w:r>
      <w:r w:rsidR="00352F2C" w:rsidRPr="006F034D">
        <w:rPr>
          <w:rFonts w:asciiTheme="minorHAnsi" w:hAnsiTheme="minorHAnsi" w:cstheme="minorHAnsi"/>
          <w:color w:val="31808B"/>
          <w:sz w:val="28"/>
          <w:szCs w:val="28"/>
        </w:rPr>
        <w:t xml:space="preserve"> Comments</w:t>
      </w:r>
    </w:p>
    <w:p w14:paraId="593574CF" w14:textId="319EE7C3" w:rsidR="003B2DD8" w:rsidRDefault="003B2DD8" w:rsidP="00644ABC">
      <w:r>
        <w:t>The origin of the limits set for the elemental impurities in both these polymer specific chapters and the general chapter 2.4.35 is unclear and appear to be set based on data gathered rather through testing of unspecified materials as opposed to be</w:t>
      </w:r>
      <w:r w:rsidR="003E3A68">
        <w:t>ing</w:t>
      </w:r>
      <w:r>
        <w:t xml:space="preserve"> established based on safety data.  It is unclear as to the rationale for taking such an approach; it appear</w:t>
      </w:r>
      <w:r w:rsidR="003E3A68">
        <w:t>s</w:t>
      </w:r>
      <w:r>
        <w:t xml:space="preserve"> to be inconsistent with the principles defined within ICH Q3D which defines limits based on safety.  Furthermore</w:t>
      </w:r>
      <w:r w:rsidR="00904682">
        <w:t>,</w:t>
      </w:r>
      <w:r>
        <w:t xml:space="preserve"> the limits described within ICH Q3D relate to the final drug product and Q3D expressly states that limits are not required for individual components unless critical to control of the quality of the final product.  An extensive review performed by </w:t>
      </w:r>
      <w:proofErr w:type="spellStart"/>
      <w:r>
        <w:t>Jenke</w:t>
      </w:r>
      <w:proofErr w:type="spellEnd"/>
      <w:r>
        <w:t xml:space="preserve"> et al</w:t>
      </w:r>
      <w:r w:rsidR="004F4264">
        <w:t>. (Ref.</w:t>
      </w:r>
      <w:r w:rsidRPr="00644ABC">
        <w:t>1</w:t>
      </w:r>
      <w:r w:rsidR="004F4264">
        <w:t>)</w:t>
      </w:r>
      <w:r>
        <w:t xml:space="preserve"> found no evidence to support the assertion that polymers represent a significant risk</w:t>
      </w:r>
    </w:p>
    <w:p w14:paraId="72CF11A5" w14:textId="3C47DF4E" w:rsidR="003B2DD8" w:rsidRDefault="003B2DD8" w:rsidP="00644ABC">
      <w:r>
        <w:t xml:space="preserve">Even taking the lowest assigned ICH Q3D Option 1 limits for each element, based on a daily dose of 10 g of material, the limits in these chapters vary from a factor of 8 to a factor of 50 below the ICH Q3D limits.  The need for such low limits </w:t>
      </w:r>
      <w:r w:rsidR="003E3A68">
        <w:t>is unclear.</w:t>
      </w:r>
      <w:r>
        <w:t xml:space="preserve">  </w:t>
      </w:r>
    </w:p>
    <w:p w14:paraId="0CE4EF17" w14:textId="4100FF47" w:rsidR="003B2DD8" w:rsidRDefault="003E3A68" w:rsidP="00644ABC">
      <w:r>
        <w:t>It is unclear how</w:t>
      </w:r>
      <w:r w:rsidR="003B2DD8">
        <w:t xml:space="preserve"> to correlate the proposed limits to drug product risk.  Even if present at the levels defined there is no evidence this would correlate with a risk in the final product. </w:t>
      </w:r>
    </w:p>
    <w:p w14:paraId="45B4FA7B" w14:textId="73E9BE53" w:rsidR="003B2DD8" w:rsidRDefault="003B2DD8" w:rsidP="00644ABC">
      <w:r>
        <w:t xml:space="preserve">There are also concerns over the method of extraction.  The conditions applied are very aggressive and thus highly unlikely to represent the </w:t>
      </w:r>
      <w:r w:rsidR="003E3A68">
        <w:t xml:space="preserve">exposure in actual </w:t>
      </w:r>
      <w:r>
        <w:t>use of these materials</w:t>
      </w:r>
      <w:r w:rsidR="003E3A68">
        <w:t xml:space="preserve"> in finished medicinal products</w:t>
      </w:r>
      <w:r>
        <w:t>.  Furthermore</w:t>
      </w:r>
      <w:r w:rsidR="00C574F7">
        <w:t>,</w:t>
      </w:r>
      <w:r>
        <w:t xml:space="preserve"> the conditions do not correlate with any defined accepted extraction protocol</w:t>
      </w:r>
      <w:r w:rsidR="003E3A68">
        <w:t>.</w:t>
      </w:r>
    </w:p>
    <w:p w14:paraId="6183FF95" w14:textId="382DF43D" w:rsidR="003E3A68" w:rsidRDefault="00B96F9C" w:rsidP="003E3A68">
      <w:r>
        <w:t>Limits for elemental impurities i</w:t>
      </w:r>
      <w:r w:rsidR="003E3A68">
        <w:t xml:space="preserve">n ICH Q3D </w:t>
      </w:r>
      <w:r>
        <w:t>are</w:t>
      </w:r>
      <w:r w:rsidR="003E3A68">
        <w:t xml:space="preserve"> differentiat</w:t>
      </w:r>
      <w:r>
        <w:t>ed based on the</w:t>
      </w:r>
      <w:r w:rsidR="003E3A68">
        <w:t xml:space="preserve"> route of administration </w:t>
      </w:r>
      <w:r>
        <w:t xml:space="preserve">of the medicinal product. Introducing these limits for plastic materials does not seem to take this consideration into account, in particular as </w:t>
      </w:r>
      <w:r w:rsidR="003E3A68">
        <w:t>elements requir</w:t>
      </w:r>
      <w:r>
        <w:t>ing</w:t>
      </w:r>
      <w:r w:rsidR="003E3A68">
        <w:t xml:space="preserve"> evaluation</w:t>
      </w:r>
      <w:r>
        <w:t xml:space="preserve"> vary depending on the route of administration. The approach with these chapters fails to take this into account.</w:t>
      </w:r>
    </w:p>
    <w:p w14:paraId="769946B4" w14:textId="75357EFF" w:rsidR="003B2DD8" w:rsidRPr="00644ABC" w:rsidRDefault="003B2DD8" w:rsidP="00644ABC">
      <w:r w:rsidRPr="00644ABC">
        <w:t xml:space="preserve">The very low limits that have been assigned in the text appear to be based on </w:t>
      </w:r>
      <w:r w:rsidR="000F266A">
        <w:t>data gathered</w:t>
      </w:r>
      <w:r w:rsidRPr="00644ABC">
        <w:t xml:space="preserve"> on samples of plastic materials typically used in Europe.  Th</w:t>
      </w:r>
      <w:r w:rsidR="000F266A">
        <w:t>e</w:t>
      </w:r>
      <w:r w:rsidRPr="00644ABC">
        <w:t>s</w:t>
      </w:r>
      <w:r w:rsidR="000F266A">
        <w:t>e</w:t>
      </w:r>
      <w:r w:rsidRPr="00644ABC">
        <w:t xml:space="preserve"> may not be representative of material from other global suppliers</w:t>
      </w:r>
      <w:r w:rsidR="003E3A68">
        <w:t xml:space="preserve">, and since </w:t>
      </w:r>
      <w:proofErr w:type="spellStart"/>
      <w:r w:rsidR="003E3A68" w:rsidRPr="00644ABC">
        <w:t>Ph</w:t>
      </w:r>
      <w:r w:rsidR="000F266A">
        <w:t>.</w:t>
      </w:r>
      <w:r w:rsidR="003E3A68" w:rsidRPr="00644ABC">
        <w:t>Eur</w:t>
      </w:r>
      <w:proofErr w:type="spellEnd"/>
      <w:r w:rsidR="000F266A">
        <w:t>.</w:t>
      </w:r>
      <w:r w:rsidR="003E3A68" w:rsidRPr="00644ABC">
        <w:t xml:space="preserve"> is used by many regulators outside of Europe as reference for compliance</w:t>
      </w:r>
      <w:r w:rsidR="003E3A68">
        <w:t xml:space="preserve"> there could be unforeseen consequences affecting the availability of products outside of Europe.</w:t>
      </w:r>
    </w:p>
    <w:p w14:paraId="713A6438" w14:textId="26142B15" w:rsidR="003B2DD8" w:rsidRPr="00644ABC" w:rsidRDefault="003E3A68" w:rsidP="00644ABC">
      <w:r w:rsidRPr="00644ABC">
        <w:t xml:space="preserve">ICH Q3D allows </w:t>
      </w:r>
      <w:r>
        <w:t xml:space="preserve">use of both </w:t>
      </w:r>
      <w:r w:rsidRPr="003E3A68">
        <w:t xml:space="preserve">ICP-MS </w:t>
      </w:r>
      <w:r>
        <w:t>and ICP-OES</w:t>
      </w:r>
      <w:r w:rsidRPr="00644ABC">
        <w:t xml:space="preserve"> techniques</w:t>
      </w:r>
      <w:r>
        <w:t>;</w:t>
      </w:r>
      <w:r w:rsidRPr="00644ABC">
        <w:t xml:space="preserve"> </w:t>
      </w:r>
      <w:r w:rsidR="003B2DD8" w:rsidRPr="00644ABC">
        <w:t>ICP-OES</w:t>
      </w:r>
      <w:r>
        <w:t xml:space="preserve"> is potentially a less expensive technique that could be more acceptable to some users of the pharmacopoeia and achieve the same goal.</w:t>
      </w:r>
    </w:p>
    <w:p w14:paraId="3536A3A9" w14:textId="4E6BD7E6" w:rsidR="00352F2C" w:rsidRPr="006F034D" w:rsidRDefault="00644ABC" w:rsidP="00644ABC">
      <w:pPr>
        <w:pStyle w:val="Heading1"/>
        <w:numPr>
          <w:ilvl w:val="0"/>
          <w:numId w:val="29"/>
        </w:numPr>
        <w:rPr>
          <w:rFonts w:asciiTheme="minorHAnsi" w:hAnsiTheme="minorHAnsi" w:cstheme="minorHAnsi"/>
          <w:color w:val="31808B"/>
          <w:sz w:val="28"/>
          <w:szCs w:val="28"/>
        </w:rPr>
      </w:pPr>
      <w:r w:rsidRPr="006F034D">
        <w:rPr>
          <w:rFonts w:asciiTheme="minorHAnsi" w:hAnsiTheme="minorHAnsi" w:cstheme="minorHAnsi"/>
          <w:color w:val="31808B"/>
          <w:sz w:val="28"/>
          <w:szCs w:val="28"/>
        </w:rPr>
        <w:t>S</w:t>
      </w:r>
      <w:r w:rsidR="00352F2C" w:rsidRPr="006F034D">
        <w:rPr>
          <w:rFonts w:asciiTheme="minorHAnsi" w:hAnsiTheme="minorHAnsi" w:cstheme="minorHAnsi"/>
          <w:color w:val="31808B"/>
          <w:sz w:val="28"/>
          <w:szCs w:val="28"/>
        </w:rPr>
        <w:t>pecific comments for the proposed new chapter 2.4.35</w:t>
      </w:r>
    </w:p>
    <w:tbl>
      <w:tblPr>
        <w:tblW w:w="1014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2198"/>
        <w:gridCol w:w="2126"/>
        <w:gridCol w:w="4394"/>
      </w:tblGrid>
      <w:tr w:rsidR="004F4264" w14:paraId="3C6CE27A" w14:textId="77777777" w:rsidTr="004F4264">
        <w:trPr>
          <w:trHeight w:val="377"/>
        </w:trPr>
        <w:tc>
          <w:tcPr>
            <w:tcW w:w="1431" w:type="dxa"/>
            <w:tcBorders>
              <w:top w:val="single" w:sz="4" w:space="0" w:color="auto"/>
              <w:left w:val="single" w:sz="4" w:space="0" w:color="auto"/>
              <w:bottom w:val="single" w:sz="4" w:space="0" w:color="auto"/>
              <w:right w:val="single" w:sz="4" w:space="0" w:color="auto"/>
            </w:tcBorders>
            <w:shd w:val="clear" w:color="auto" w:fill="D9D9D9"/>
            <w:hideMark/>
          </w:tcPr>
          <w:p w14:paraId="0C316B81" w14:textId="77777777" w:rsidR="00352F2C" w:rsidRPr="00644ABC" w:rsidRDefault="00352F2C" w:rsidP="00D92295">
            <w:pPr>
              <w:pStyle w:val="Default"/>
              <w:spacing w:line="256" w:lineRule="auto"/>
              <w:ind w:left="-90"/>
              <w:rPr>
                <w:rFonts w:asciiTheme="minorHAnsi" w:hAnsiTheme="minorHAnsi" w:cstheme="minorHAnsi"/>
                <w:b/>
                <w:sz w:val="22"/>
                <w:szCs w:val="22"/>
                <w:lang w:bidi="he-IL"/>
              </w:rPr>
            </w:pPr>
            <w:r w:rsidRPr="00644ABC">
              <w:rPr>
                <w:rFonts w:asciiTheme="minorHAnsi" w:hAnsiTheme="minorHAnsi" w:cstheme="minorHAnsi"/>
                <w:b/>
                <w:sz w:val="22"/>
                <w:szCs w:val="22"/>
                <w:lang w:bidi="he-IL"/>
              </w:rPr>
              <w:t>Section</w:t>
            </w:r>
          </w:p>
        </w:tc>
        <w:tc>
          <w:tcPr>
            <w:tcW w:w="2198" w:type="dxa"/>
            <w:tcBorders>
              <w:top w:val="single" w:sz="4" w:space="0" w:color="auto"/>
              <w:left w:val="single" w:sz="4" w:space="0" w:color="auto"/>
              <w:bottom w:val="single" w:sz="4" w:space="0" w:color="auto"/>
              <w:right w:val="single" w:sz="4" w:space="0" w:color="auto"/>
            </w:tcBorders>
            <w:shd w:val="clear" w:color="auto" w:fill="D9D9D9"/>
            <w:hideMark/>
          </w:tcPr>
          <w:p w14:paraId="5EF5F6EC" w14:textId="77777777" w:rsidR="00352F2C" w:rsidRPr="00644ABC" w:rsidRDefault="00352F2C" w:rsidP="00D92295">
            <w:pPr>
              <w:spacing w:line="256" w:lineRule="auto"/>
              <w:ind w:left="-90"/>
              <w:jc w:val="both"/>
              <w:rPr>
                <w:rFonts w:cstheme="minorHAnsi"/>
                <w:b/>
                <w:color w:val="000000"/>
                <w:lang w:bidi="he-IL"/>
              </w:rPr>
            </w:pPr>
            <w:r w:rsidRPr="00644ABC">
              <w:rPr>
                <w:rFonts w:cstheme="minorHAnsi"/>
                <w:b/>
                <w:color w:val="000000"/>
                <w:lang w:bidi="he-IL"/>
              </w:rPr>
              <w:t>Current text</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1D0EAB61" w14:textId="77777777" w:rsidR="00352F2C" w:rsidRPr="00644ABC" w:rsidRDefault="00352F2C" w:rsidP="00D92295">
            <w:pPr>
              <w:spacing w:line="256" w:lineRule="auto"/>
              <w:ind w:left="-90"/>
              <w:jc w:val="both"/>
              <w:rPr>
                <w:rFonts w:cstheme="minorHAnsi"/>
                <w:b/>
                <w:color w:val="000000"/>
                <w:lang w:bidi="he-IL"/>
              </w:rPr>
            </w:pPr>
            <w:r w:rsidRPr="00644ABC">
              <w:rPr>
                <w:rFonts w:cstheme="minorHAnsi"/>
                <w:b/>
                <w:color w:val="000000"/>
                <w:lang w:bidi="he-IL"/>
              </w:rPr>
              <w:t>Suggested text</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56D17470" w14:textId="0C298E07" w:rsidR="00352F2C" w:rsidRPr="00644ABC" w:rsidRDefault="00352F2C" w:rsidP="004F4264">
            <w:pPr>
              <w:spacing w:line="256" w:lineRule="auto"/>
              <w:ind w:left="206"/>
              <w:rPr>
                <w:rFonts w:cstheme="minorHAnsi"/>
                <w:b/>
                <w:color w:val="000000"/>
                <w:lang w:bidi="he-IL"/>
              </w:rPr>
            </w:pPr>
            <w:r w:rsidRPr="00644ABC">
              <w:rPr>
                <w:rFonts w:cstheme="minorHAnsi"/>
                <w:b/>
                <w:color w:val="000000"/>
                <w:lang w:bidi="he-IL"/>
              </w:rPr>
              <w:t>Rationale for Comments</w:t>
            </w:r>
          </w:p>
        </w:tc>
      </w:tr>
      <w:tr w:rsidR="00644ABC" w14:paraId="207713CD" w14:textId="77777777" w:rsidTr="004F4264">
        <w:trPr>
          <w:trHeight w:val="399"/>
        </w:trPr>
        <w:tc>
          <w:tcPr>
            <w:tcW w:w="1431" w:type="dxa"/>
            <w:tcBorders>
              <w:top w:val="single" w:sz="4" w:space="0" w:color="auto"/>
              <w:left w:val="single" w:sz="4" w:space="0" w:color="auto"/>
              <w:bottom w:val="single" w:sz="4" w:space="0" w:color="auto"/>
              <w:right w:val="single" w:sz="4" w:space="0" w:color="auto"/>
            </w:tcBorders>
            <w:hideMark/>
          </w:tcPr>
          <w:p w14:paraId="38392A7A" w14:textId="77777777" w:rsidR="00352F2C" w:rsidRPr="00644ABC" w:rsidRDefault="00352F2C" w:rsidP="00D92295">
            <w:pPr>
              <w:pStyle w:val="Default"/>
              <w:spacing w:line="256" w:lineRule="auto"/>
              <w:rPr>
                <w:rFonts w:asciiTheme="minorHAnsi" w:hAnsiTheme="minorHAnsi" w:cstheme="minorHAnsi"/>
                <w:sz w:val="22"/>
                <w:szCs w:val="22"/>
                <w:lang w:bidi="he-IL"/>
              </w:rPr>
            </w:pPr>
            <w:r w:rsidRPr="00644ABC">
              <w:rPr>
                <w:rFonts w:asciiTheme="minorHAnsi" w:hAnsiTheme="minorHAnsi" w:cstheme="minorHAnsi"/>
                <w:sz w:val="22"/>
                <w:szCs w:val="22"/>
                <w:lang w:bidi="he-IL"/>
              </w:rPr>
              <w:t>Table 2.4.35.-2</w:t>
            </w:r>
          </w:p>
        </w:tc>
        <w:tc>
          <w:tcPr>
            <w:tcW w:w="2198" w:type="dxa"/>
            <w:tcBorders>
              <w:top w:val="single" w:sz="4" w:space="0" w:color="auto"/>
              <w:left w:val="single" w:sz="4" w:space="0" w:color="auto"/>
              <w:bottom w:val="single" w:sz="4" w:space="0" w:color="auto"/>
              <w:right w:val="single" w:sz="4" w:space="0" w:color="auto"/>
            </w:tcBorders>
            <w:hideMark/>
          </w:tcPr>
          <w:p w14:paraId="041F6117" w14:textId="77777777" w:rsidR="00352F2C" w:rsidRPr="00644ABC" w:rsidRDefault="00352F2C" w:rsidP="00D92295">
            <w:pPr>
              <w:pStyle w:val="Default"/>
              <w:spacing w:line="256" w:lineRule="auto"/>
              <w:rPr>
                <w:rFonts w:asciiTheme="minorHAnsi" w:hAnsiTheme="minorHAnsi" w:cstheme="minorHAnsi"/>
                <w:sz w:val="22"/>
                <w:szCs w:val="22"/>
                <w:lang w:bidi="he-IL"/>
              </w:rPr>
            </w:pPr>
            <w:r w:rsidRPr="00644ABC">
              <w:rPr>
                <w:rFonts w:asciiTheme="minorHAnsi" w:hAnsiTheme="minorHAnsi" w:cstheme="minorHAnsi"/>
                <w:sz w:val="22"/>
                <w:szCs w:val="22"/>
                <w:lang w:bidi="he-IL"/>
              </w:rPr>
              <w:t>Limit (mg/L)</w:t>
            </w:r>
          </w:p>
        </w:tc>
        <w:tc>
          <w:tcPr>
            <w:tcW w:w="2126" w:type="dxa"/>
            <w:tcBorders>
              <w:top w:val="single" w:sz="4" w:space="0" w:color="auto"/>
              <w:left w:val="single" w:sz="4" w:space="0" w:color="auto"/>
              <w:bottom w:val="single" w:sz="4" w:space="0" w:color="auto"/>
              <w:right w:val="single" w:sz="4" w:space="0" w:color="auto"/>
            </w:tcBorders>
            <w:hideMark/>
          </w:tcPr>
          <w:p w14:paraId="42DC6FDE" w14:textId="49DB63BE" w:rsidR="00352F2C" w:rsidRPr="00644ABC" w:rsidRDefault="00904682" w:rsidP="00D92295">
            <w:pPr>
              <w:pStyle w:val="Default"/>
              <w:spacing w:line="256" w:lineRule="auto"/>
              <w:rPr>
                <w:rFonts w:asciiTheme="minorHAnsi" w:hAnsiTheme="minorHAnsi" w:cstheme="minorHAnsi"/>
                <w:sz w:val="22"/>
                <w:szCs w:val="22"/>
                <w:lang w:bidi="he-IL"/>
              </w:rPr>
            </w:pPr>
            <w:r>
              <w:rPr>
                <w:rFonts w:asciiTheme="minorHAnsi" w:hAnsiTheme="minorHAnsi" w:cstheme="minorHAnsi"/>
                <w:sz w:val="22"/>
                <w:szCs w:val="22"/>
                <w:lang w:bidi="he-IL"/>
              </w:rPr>
              <w:t>Concentration</w:t>
            </w:r>
            <w:r w:rsidR="00352F2C" w:rsidRPr="00644ABC">
              <w:rPr>
                <w:rFonts w:asciiTheme="minorHAnsi" w:hAnsiTheme="minorHAnsi" w:cstheme="minorHAnsi"/>
                <w:sz w:val="22"/>
                <w:szCs w:val="22"/>
                <w:lang w:bidi="he-IL"/>
              </w:rPr>
              <w:t xml:space="preserve"> (mg/kg)</w:t>
            </w:r>
          </w:p>
        </w:tc>
        <w:tc>
          <w:tcPr>
            <w:tcW w:w="4394" w:type="dxa"/>
            <w:tcBorders>
              <w:top w:val="single" w:sz="4" w:space="0" w:color="auto"/>
              <w:left w:val="single" w:sz="4" w:space="0" w:color="auto"/>
              <w:bottom w:val="single" w:sz="4" w:space="0" w:color="auto"/>
              <w:right w:val="single" w:sz="4" w:space="0" w:color="auto"/>
            </w:tcBorders>
            <w:hideMark/>
          </w:tcPr>
          <w:p w14:paraId="011F150C" w14:textId="1400CC3F" w:rsidR="00352F2C" w:rsidRPr="00644ABC" w:rsidRDefault="00EA695B" w:rsidP="00EA695B">
            <w:pPr>
              <w:pStyle w:val="Default"/>
              <w:spacing w:line="256" w:lineRule="auto"/>
              <w:rPr>
                <w:rFonts w:asciiTheme="minorHAnsi" w:hAnsiTheme="minorHAnsi" w:cstheme="minorHAnsi"/>
                <w:sz w:val="22"/>
                <w:szCs w:val="22"/>
                <w:lang w:val="en-GB" w:bidi="he-IL"/>
              </w:rPr>
            </w:pPr>
            <w:r>
              <w:rPr>
                <w:rFonts w:asciiTheme="minorHAnsi" w:hAnsiTheme="minorHAnsi" w:cstheme="minorHAnsi"/>
                <w:sz w:val="22"/>
                <w:szCs w:val="22"/>
                <w:lang w:val="en-GB" w:bidi="he-IL"/>
              </w:rPr>
              <w:t xml:space="preserve">The concentration (limits) is the chapter are unclear. We suggest the procedure is revised as a test for </w:t>
            </w:r>
            <w:proofErr w:type="spellStart"/>
            <w:r>
              <w:rPr>
                <w:rFonts w:asciiTheme="minorHAnsi" w:hAnsiTheme="minorHAnsi" w:cstheme="minorHAnsi"/>
                <w:sz w:val="22"/>
                <w:szCs w:val="22"/>
                <w:lang w:val="en-GB" w:bidi="he-IL"/>
              </w:rPr>
              <w:t>leachables</w:t>
            </w:r>
            <w:proofErr w:type="spellEnd"/>
            <w:r>
              <w:rPr>
                <w:rFonts w:asciiTheme="minorHAnsi" w:hAnsiTheme="minorHAnsi" w:cstheme="minorHAnsi"/>
                <w:sz w:val="22"/>
                <w:szCs w:val="22"/>
                <w:lang w:val="en-GB" w:bidi="he-IL"/>
              </w:rPr>
              <w:t xml:space="preserve"> and, if necessary, </w:t>
            </w:r>
            <w:r>
              <w:rPr>
                <w:rFonts w:asciiTheme="minorHAnsi" w:hAnsiTheme="minorHAnsi" w:cstheme="minorHAnsi"/>
                <w:sz w:val="22"/>
                <w:szCs w:val="22"/>
                <w:lang w:val="en-GB" w:bidi="he-IL"/>
              </w:rPr>
              <w:lastRenderedPageBreak/>
              <w:t xml:space="preserve">guidance provided to relate the results to the </w:t>
            </w:r>
            <w:proofErr w:type="spellStart"/>
            <w:r>
              <w:rPr>
                <w:rFonts w:asciiTheme="minorHAnsi" w:hAnsiTheme="minorHAnsi" w:cstheme="minorHAnsi"/>
                <w:sz w:val="22"/>
                <w:szCs w:val="22"/>
                <w:lang w:val="en-GB" w:bidi="he-IL"/>
              </w:rPr>
              <w:t>the</w:t>
            </w:r>
            <w:proofErr w:type="spellEnd"/>
            <w:r>
              <w:rPr>
                <w:rFonts w:asciiTheme="minorHAnsi" w:hAnsiTheme="minorHAnsi" w:cstheme="minorHAnsi"/>
                <w:sz w:val="22"/>
                <w:szCs w:val="22"/>
                <w:lang w:val="en-GB" w:bidi="he-IL"/>
              </w:rPr>
              <w:t xml:space="preserve"> potential for elemental impurities to be present in the finished medicinal product.</w:t>
            </w:r>
          </w:p>
        </w:tc>
      </w:tr>
      <w:tr w:rsidR="00644ABC" w14:paraId="0ADCAB9D" w14:textId="77777777" w:rsidTr="004F4264">
        <w:trPr>
          <w:trHeight w:val="399"/>
        </w:trPr>
        <w:tc>
          <w:tcPr>
            <w:tcW w:w="1431" w:type="dxa"/>
            <w:tcBorders>
              <w:top w:val="single" w:sz="4" w:space="0" w:color="auto"/>
              <w:left w:val="single" w:sz="4" w:space="0" w:color="auto"/>
              <w:bottom w:val="single" w:sz="4" w:space="0" w:color="auto"/>
              <w:right w:val="single" w:sz="4" w:space="0" w:color="auto"/>
            </w:tcBorders>
            <w:hideMark/>
          </w:tcPr>
          <w:p w14:paraId="0CCE1CA6" w14:textId="77777777" w:rsidR="00352F2C" w:rsidRPr="00644ABC" w:rsidRDefault="00352F2C" w:rsidP="00D92295">
            <w:pPr>
              <w:pStyle w:val="Default"/>
              <w:spacing w:line="256" w:lineRule="auto"/>
              <w:rPr>
                <w:rFonts w:asciiTheme="minorHAnsi" w:hAnsiTheme="minorHAnsi" w:cstheme="minorHAnsi"/>
                <w:sz w:val="22"/>
                <w:szCs w:val="22"/>
                <w:lang w:val="en-GB" w:bidi="he-IL"/>
              </w:rPr>
            </w:pPr>
            <w:r w:rsidRPr="00644ABC">
              <w:rPr>
                <w:rFonts w:asciiTheme="minorHAnsi" w:hAnsiTheme="minorHAnsi" w:cstheme="minorHAnsi"/>
                <w:sz w:val="22"/>
                <w:szCs w:val="22"/>
                <w:lang w:val="en-GB" w:bidi="he-IL"/>
              </w:rPr>
              <w:lastRenderedPageBreak/>
              <w:t>Table 2.4.35.-3</w:t>
            </w:r>
          </w:p>
        </w:tc>
        <w:tc>
          <w:tcPr>
            <w:tcW w:w="2198" w:type="dxa"/>
            <w:tcBorders>
              <w:top w:val="single" w:sz="4" w:space="0" w:color="auto"/>
              <w:left w:val="single" w:sz="4" w:space="0" w:color="auto"/>
              <w:bottom w:val="single" w:sz="4" w:space="0" w:color="auto"/>
              <w:right w:val="single" w:sz="4" w:space="0" w:color="auto"/>
            </w:tcBorders>
            <w:hideMark/>
          </w:tcPr>
          <w:p w14:paraId="07328E82" w14:textId="3371358D" w:rsidR="00644ABC" w:rsidRPr="00644ABC" w:rsidRDefault="00644ABC" w:rsidP="004F4264">
            <w:pPr>
              <w:pStyle w:val="Default"/>
              <w:spacing w:line="256" w:lineRule="auto"/>
              <w:ind w:right="-109"/>
              <w:rPr>
                <w:rFonts w:asciiTheme="minorHAnsi" w:hAnsiTheme="minorHAnsi" w:cstheme="minorHAnsi"/>
                <w:sz w:val="22"/>
                <w:szCs w:val="22"/>
                <w:lang w:val="en-GB" w:bidi="he-IL"/>
              </w:rPr>
            </w:pPr>
            <w:r w:rsidRPr="00644ABC">
              <w:rPr>
                <w:rFonts w:asciiTheme="minorHAnsi" w:hAnsiTheme="minorHAnsi" w:cstheme="minorHAnsi"/>
                <w:sz w:val="22"/>
                <w:szCs w:val="22"/>
                <w:lang w:val="en-GB" w:bidi="he-IL"/>
              </w:rPr>
              <w:t>Acceptance criteria for precision: Repeatability 20%</w:t>
            </w:r>
            <w:r w:rsidR="004F4264">
              <w:rPr>
                <w:rFonts w:asciiTheme="minorHAnsi" w:hAnsiTheme="minorHAnsi" w:cstheme="minorHAnsi"/>
                <w:sz w:val="22"/>
                <w:szCs w:val="22"/>
                <w:lang w:val="en-GB" w:bidi="he-IL"/>
              </w:rPr>
              <w:t xml:space="preserve"> R</w:t>
            </w:r>
            <w:r w:rsidRPr="00644ABC">
              <w:rPr>
                <w:rFonts w:asciiTheme="minorHAnsi" w:hAnsiTheme="minorHAnsi" w:cstheme="minorHAnsi"/>
                <w:sz w:val="22"/>
                <w:szCs w:val="22"/>
                <w:lang w:val="en-GB" w:bidi="he-IL"/>
              </w:rPr>
              <w:t xml:space="preserve">SD </w:t>
            </w:r>
          </w:p>
          <w:p w14:paraId="5A2DB48A" w14:textId="75CAADF7" w:rsidR="00352F2C" w:rsidRPr="00644ABC" w:rsidRDefault="00644ABC" w:rsidP="00644ABC">
            <w:pPr>
              <w:pStyle w:val="Default"/>
              <w:spacing w:line="256" w:lineRule="auto"/>
              <w:rPr>
                <w:rFonts w:asciiTheme="minorHAnsi" w:hAnsiTheme="minorHAnsi" w:cstheme="minorHAnsi"/>
                <w:sz w:val="22"/>
                <w:szCs w:val="22"/>
                <w:lang w:val="en-GB" w:bidi="he-IL"/>
              </w:rPr>
            </w:pPr>
            <w:r w:rsidRPr="00644ABC">
              <w:rPr>
                <w:rFonts w:asciiTheme="minorHAnsi" w:hAnsiTheme="minorHAnsi" w:cstheme="minorHAnsi"/>
                <w:sz w:val="22"/>
                <w:szCs w:val="22"/>
                <w:lang w:val="en-GB" w:bidi="he-IL"/>
              </w:rPr>
              <w:t xml:space="preserve">Intermediate precision </w:t>
            </w:r>
            <w:r w:rsidR="004F4264">
              <w:rPr>
                <w:rFonts w:asciiTheme="minorHAnsi" w:hAnsiTheme="minorHAnsi" w:cstheme="minorHAnsi"/>
                <w:sz w:val="22"/>
                <w:szCs w:val="22"/>
                <w:lang w:val="en-GB" w:bidi="he-IL"/>
              </w:rPr>
              <w:t>32</w:t>
            </w:r>
            <w:r w:rsidRPr="00644ABC">
              <w:rPr>
                <w:rFonts w:asciiTheme="minorHAnsi" w:hAnsiTheme="minorHAnsi" w:cstheme="minorHAnsi"/>
                <w:sz w:val="22"/>
                <w:szCs w:val="22"/>
                <w:lang w:val="en-GB" w:bidi="he-IL"/>
              </w:rPr>
              <w:t>%</w:t>
            </w:r>
            <w:r w:rsidR="004F4264">
              <w:rPr>
                <w:rFonts w:asciiTheme="minorHAnsi" w:hAnsiTheme="minorHAnsi" w:cstheme="minorHAnsi"/>
                <w:sz w:val="22"/>
                <w:szCs w:val="22"/>
                <w:lang w:val="en-GB" w:bidi="he-IL"/>
              </w:rPr>
              <w:t xml:space="preserve"> </w:t>
            </w:r>
            <w:r w:rsidRPr="00644ABC">
              <w:rPr>
                <w:rFonts w:asciiTheme="minorHAnsi" w:hAnsiTheme="minorHAnsi" w:cstheme="minorHAnsi"/>
                <w:sz w:val="22"/>
                <w:szCs w:val="22"/>
                <w:lang w:val="en-GB" w:bidi="he-IL"/>
              </w:rPr>
              <w:t>RSD</w:t>
            </w:r>
          </w:p>
        </w:tc>
        <w:tc>
          <w:tcPr>
            <w:tcW w:w="2126" w:type="dxa"/>
            <w:tcBorders>
              <w:top w:val="single" w:sz="4" w:space="0" w:color="auto"/>
              <w:left w:val="single" w:sz="4" w:space="0" w:color="auto"/>
              <w:bottom w:val="single" w:sz="4" w:space="0" w:color="auto"/>
              <w:right w:val="single" w:sz="4" w:space="0" w:color="auto"/>
            </w:tcBorders>
            <w:hideMark/>
          </w:tcPr>
          <w:p w14:paraId="267400BB" w14:textId="2807A9E7" w:rsidR="00352F2C" w:rsidRPr="00644ABC" w:rsidRDefault="00352F2C" w:rsidP="00D92295">
            <w:pPr>
              <w:pStyle w:val="Default"/>
              <w:spacing w:line="256" w:lineRule="auto"/>
              <w:rPr>
                <w:rFonts w:asciiTheme="minorHAnsi" w:hAnsiTheme="minorHAnsi" w:cstheme="minorHAnsi"/>
                <w:sz w:val="22"/>
                <w:szCs w:val="22"/>
                <w:lang w:val="en-GB" w:bidi="he-IL"/>
              </w:rPr>
            </w:pPr>
            <w:r w:rsidRPr="00644ABC">
              <w:rPr>
                <w:rFonts w:asciiTheme="minorHAnsi" w:hAnsiTheme="minorHAnsi" w:cstheme="minorHAnsi"/>
                <w:sz w:val="22"/>
                <w:szCs w:val="22"/>
                <w:lang w:val="en-GB" w:bidi="he-IL"/>
              </w:rPr>
              <w:t xml:space="preserve">Acceptance criteria for </w:t>
            </w:r>
          </w:p>
          <w:p w14:paraId="4B4CBD4E" w14:textId="22D09638" w:rsidR="00352F2C" w:rsidRPr="00644ABC" w:rsidRDefault="00352F2C" w:rsidP="00D92295">
            <w:pPr>
              <w:pStyle w:val="Default"/>
              <w:spacing w:line="256" w:lineRule="auto"/>
              <w:rPr>
                <w:rFonts w:asciiTheme="minorHAnsi" w:hAnsiTheme="minorHAnsi" w:cstheme="minorHAnsi"/>
                <w:sz w:val="22"/>
                <w:szCs w:val="22"/>
                <w:lang w:val="en-GB" w:bidi="he-IL"/>
              </w:rPr>
            </w:pPr>
            <w:r w:rsidRPr="00644ABC">
              <w:rPr>
                <w:rFonts w:asciiTheme="minorHAnsi" w:hAnsiTheme="minorHAnsi" w:cstheme="minorHAnsi"/>
                <w:sz w:val="22"/>
                <w:szCs w:val="22"/>
                <w:lang w:val="en-GB" w:bidi="he-IL"/>
              </w:rPr>
              <w:t>Intermediate precision 25%</w:t>
            </w:r>
            <w:r w:rsidR="004F4264">
              <w:rPr>
                <w:rFonts w:asciiTheme="minorHAnsi" w:hAnsiTheme="minorHAnsi" w:cstheme="minorHAnsi"/>
                <w:sz w:val="22"/>
                <w:szCs w:val="22"/>
                <w:lang w:val="en-GB" w:bidi="he-IL"/>
              </w:rPr>
              <w:t xml:space="preserve"> </w:t>
            </w:r>
            <w:r w:rsidRPr="00644ABC">
              <w:rPr>
                <w:rFonts w:asciiTheme="minorHAnsi" w:hAnsiTheme="minorHAnsi" w:cstheme="minorHAnsi"/>
                <w:sz w:val="22"/>
                <w:szCs w:val="22"/>
                <w:lang w:val="en-GB" w:bidi="he-IL"/>
              </w:rPr>
              <w:t xml:space="preserve">RSD </w:t>
            </w:r>
          </w:p>
        </w:tc>
        <w:tc>
          <w:tcPr>
            <w:tcW w:w="4394" w:type="dxa"/>
            <w:tcBorders>
              <w:top w:val="single" w:sz="4" w:space="0" w:color="auto"/>
              <w:left w:val="single" w:sz="4" w:space="0" w:color="auto"/>
              <w:bottom w:val="single" w:sz="4" w:space="0" w:color="auto"/>
              <w:right w:val="single" w:sz="4" w:space="0" w:color="auto"/>
            </w:tcBorders>
            <w:hideMark/>
          </w:tcPr>
          <w:p w14:paraId="28922D32" w14:textId="235C1EF3" w:rsidR="00352F2C" w:rsidRPr="00644ABC" w:rsidRDefault="00932481" w:rsidP="00D92295">
            <w:pPr>
              <w:pStyle w:val="Default"/>
              <w:spacing w:line="256" w:lineRule="auto"/>
              <w:rPr>
                <w:rFonts w:asciiTheme="minorHAnsi" w:hAnsiTheme="minorHAnsi" w:cstheme="minorHAnsi"/>
                <w:sz w:val="22"/>
                <w:szCs w:val="22"/>
                <w:lang w:val="en-GB" w:bidi="he-IL"/>
              </w:rPr>
            </w:pPr>
            <w:r>
              <w:rPr>
                <w:rFonts w:asciiTheme="minorHAnsi" w:hAnsiTheme="minorHAnsi" w:cstheme="minorHAnsi"/>
                <w:sz w:val="22"/>
                <w:szCs w:val="22"/>
                <w:lang w:val="en-GB" w:bidi="he-IL"/>
              </w:rPr>
              <w:t xml:space="preserve">EFPIA notes that </w:t>
            </w:r>
            <w:r w:rsidR="00352F2C" w:rsidRPr="00644ABC">
              <w:rPr>
                <w:rFonts w:asciiTheme="minorHAnsi" w:hAnsiTheme="minorHAnsi" w:cstheme="minorHAnsi"/>
                <w:sz w:val="22"/>
                <w:szCs w:val="22"/>
                <w:lang w:val="en-GB" w:bidi="he-IL"/>
              </w:rPr>
              <w:t xml:space="preserve">the suggested acceptance criteria </w:t>
            </w:r>
            <w:r>
              <w:rPr>
                <w:rFonts w:asciiTheme="minorHAnsi" w:hAnsiTheme="minorHAnsi" w:cstheme="minorHAnsi"/>
                <w:sz w:val="22"/>
                <w:szCs w:val="22"/>
                <w:lang w:val="en-GB" w:bidi="he-IL"/>
              </w:rPr>
              <w:t>for Intermediate precision is not aligned w</w:t>
            </w:r>
            <w:r w:rsidR="00352F2C" w:rsidRPr="00644ABC">
              <w:rPr>
                <w:rFonts w:asciiTheme="minorHAnsi" w:hAnsiTheme="minorHAnsi" w:cstheme="minorHAnsi"/>
                <w:sz w:val="22"/>
                <w:szCs w:val="22"/>
                <w:lang w:val="en-GB" w:bidi="he-IL"/>
              </w:rPr>
              <w:t xml:space="preserve">ith </w:t>
            </w:r>
            <w:proofErr w:type="spellStart"/>
            <w:r w:rsidR="00352F2C" w:rsidRPr="00644ABC">
              <w:rPr>
                <w:rFonts w:asciiTheme="minorHAnsi" w:hAnsiTheme="minorHAnsi" w:cstheme="minorHAnsi"/>
                <w:sz w:val="22"/>
                <w:szCs w:val="22"/>
                <w:lang w:val="en-GB" w:bidi="he-IL"/>
              </w:rPr>
              <w:t>Ph.Eur</w:t>
            </w:r>
            <w:proofErr w:type="spellEnd"/>
            <w:r w:rsidR="00352F2C" w:rsidRPr="00644ABC">
              <w:rPr>
                <w:rFonts w:asciiTheme="minorHAnsi" w:hAnsiTheme="minorHAnsi" w:cstheme="minorHAnsi"/>
                <w:sz w:val="22"/>
                <w:szCs w:val="22"/>
                <w:lang w:val="en-GB" w:bidi="he-IL"/>
              </w:rPr>
              <w:t xml:space="preserve">. 2.4.20.   </w:t>
            </w:r>
          </w:p>
        </w:tc>
      </w:tr>
    </w:tbl>
    <w:p w14:paraId="4EB04E59" w14:textId="2D32C67B" w:rsidR="00352F2C" w:rsidRDefault="00352F2C" w:rsidP="00352F2C">
      <w:pPr>
        <w:pStyle w:val="Default"/>
        <w:ind w:left="-90"/>
        <w:rPr>
          <w:lang w:val="en-GB"/>
        </w:rPr>
      </w:pPr>
    </w:p>
    <w:p w14:paraId="6B5C5DCE" w14:textId="47904F40" w:rsidR="00932A17" w:rsidRPr="00C574F7" w:rsidRDefault="00932A17" w:rsidP="00932A17">
      <w:pPr>
        <w:rPr>
          <w:b/>
          <w:lang w:val="en-US"/>
        </w:rPr>
      </w:pPr>
      <w:r w:rsidRPr="00932A17">
        <w:rPr>
          <w:b/>
          <w:lang w:val="en-US"/>
        </w:rPr>
        <w:t>Reference</w:t>
      </w:r>
    </w:p>
    <w:p w14:paraId="51879D79" w14:textId="77777777" w:rsidR="00932A17" w:rsidRPr="004F4264" w:rsidRDefault="00932A17" w:rsidP="00932A17">
      <w:pPr>
        <w:pStyle w:val="ListParagraph"/>
        <w:numPr>
          <w:ilvl w:val="0"/>
          <w:numId w:val="26"/>
        </w:numPr>
        <w:spacing w:after="160" w:line="256" w:lineRule="auto"/>
        <w:rPr>
          <w:rFonts w:asciiTheme="minorHAnsi" w:hAnsiTheme="minorHAnsi" w:cstheme="minorBidi"/>
          <w:sz w:val="22"/>
          <w:szCs w:val="22"/>
          <w:lang w:val="en-US" w:eastAsia="en-US"/>
        </w:rPr>
      </w:pPr>
      <w:r w:rsidRPr="004F4264">
        <w:rPr>
          <w:rFonts w:asciiTheme="minorHAnsi" w:hAnsiTheme="minorHAnsi" w:cstheme="minorBidi"/>
          <w:sz w:val="22"/>
          <w:szCs w:val="22"/>
          <w:lang w:val="en-US" w:eastAsia="en-US"/>
        </w:rPr>
        <w:t xml:space="preserve">Materials in Manufacturing and Packaging Systems as Sources of Elemental Impurities in Packaged Drug Products: A literature review. Dennis R. </w:t>
      </w:r>
      <w:proofErr w:type="spellStart"/>
      <w:r w:rsidRPr="004F4264">
        <w:rPr>
          <w:rFonts w:asciiTheme="minorHAnsi" w:hAnsiTheme="minorHAnsi" w:cstheme="minorBidi"/>
          <w:sz w:val="22"/>
          <w:szCs w:val="22"/>
          <w:lang w:val="en-US" w:eastAsia="en-US"/>
        </w:rPr>
        <w:t>Jenke</w:t>
      </w:r>
      <w:proofErr w:type="spellEnd"/>
      <w:r w:rsidRPr="004F4264">
        <w:rPr>
          <w:rFonts w:asciiTheme="minorHAnsi" w:hAnsiTheme="minorHAnsi" w:cstheme="minorBidi"/>
          <w:sz w:val="22"/>
          <w:szCs w:val="22"/>
          <w:lang w:val="en-US" w:eastAsia="en-US"/>
        </w:rPr>
        <w:t xml:space="preserve">, Cheryl L. M. Stults, Diane M. </w:t>
      </w:r>
      <w:proofErr w:type="spellStart"/>
      <w:r w:rsidRPr="004F4264">
        <w:rPr>
          <w:rFonts w:asciiTheme="minorHAnsi" w:hAnsiTheme="minorHAnsi" w:cstheme="minorBidi"/>
          <w:sz w:val="22"/>
          <w:szCs w:val="22"/>
          <w:lang w:val="en-US" w:eastAsia="en-US"/>
        </w:rPr>
        <w:t>Paskiet</w:t>
      </w:r>
      <w:proofErr w:type="spellEnd"/>
      <w:r w:rsidRPr="004F4264">
        <w:rPr>
          <w:rFonts w:asciiTheme="minorHAnsi" w:hAnsiTheme="minorHAnsi" w:cstheme="minorBidi"/>
          <w:sz w:val="22"/>
          <w:szCs w:val="22"/>
          <w:lang w:val="en-US" w:eastAsia="en-US"/>
        </w:rPr>
        <w:t>, et al. PDA J Pharm Sci and Tech 2015, 69 1-48</w:t>
      </w:r>
    </w:p>
    <w:p w14:paraId="2EE2F618" w14:textId="762AD307" w:rsidR="00352F2C" w:rsidRPr="004572C2" w:rsidRDefault="00352F2C" w:rsidP="00932A17">
      <w:pPr>
        <w:rPr>
          <w:lang w:val="en-US"/>
        </w:rPr>
      </w:pPr>
      <w:bookmarkStart w:id="0" w:name="_GoBack"/>
      <w:bookmarkEnd w:id="0"/>
    </w:p>
    <w:sectPr w:rsidR="00352F2C" w:rsidRPr="004572C2" w:rsidSect="00642E70">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530BA" w14:textId="77777777" w:rsidR="00EA2FFB" w:rsidRDefault="00EA2FFB" w:rsidP="004F4879">
      <w:pPr>
        <w:spacing w:after="0" w:line="240" w:lineRule="auto"/>
      </w:pPr>
      <w:r>
        <w:separator/>
      </w:r>
    </w:p>
  </w:endnote>
  <w:endnote w:type="continuationSeparator" w:id="0">
    <w:p w14:paraId="76E31885" w14:textId="77777777" w:rsidR="00EA2FFB" w:rsidRDefault="00EA2FFB" w:rsidP="004F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4D"/>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764954"/>
      <w:docPartObj>
        <w:docPartGallery w:val="Page Numbers (Bottom of Page)"/>
        <w:docPartUnique/>
      </w:docPartObj>
    </w:sdtPr>
    <w:sdtEndPr/>
    <w:sdtContent>
      <w:sdt>
        <w:sdtPr>
          <w:id w:val="1728636285"/>
          <w:docPartObj>
            <w:docPartGallery w:val="Page Numbers (Top of Page)"/>
            <w:docPartUnique/>
          </w:docPartObj>
        </w:sdtPr>
        <w:sdtEndPr/>
        <w:sdtContent>
          <w:p w14:paraId="4905328C" w14:textId="728DB5C1" w:rsidR="000519E8" w:rsidRDefault="000519E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5B9191D" w14:textId="77777777" w:rsidR="000519E8" w:rsidRDefault="00051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12F33" w14:textId="77777777" w:rsidR="00EA2FFB" w:rsidRDefault="00EA2FFB" w:rsidP="004F4879">
      <w:pPr>
        <w:spacing w:after="0" w:line="240" w:lineRule="auto"/>
      </w:pPr>
      <w:r>
        <w:separator/>
      </w:r>
    </w:p>
  </w:footnote>
  <w:footnote w:type="continuationSeparator" w:id="0">
    <w:p w14:paraId="2FEA38AF" w14:textId="77777777" w:rsidR="00EA2FFB" w:rsidRDefault="00EA2FFB" w:rsidP="004F4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096A4" w14:textId="3B9F2AEA" w:rsidR="000519E8" w:rsidRDefault="000519E8">
    <w:pPr>
      <w:pStyle w:val="Header"/>
    </w:pPr>
    <w:r w:rsidRPr="000519E8">
      <w:rPr>
        <w:rFonts w:ascii="Calibri" w:eastAsia="Times New Roman" w:hAnsi="Calibri" w:cs="Times New Roman"/>
        <w:noProof/>
        <w:lang w:eastAsia="en-GB"/>
      </w:rPr>
      <w:drawing>
        <wp:anchor distT="0" distB="0" distL="0" distR="0" simplePos="0" relativeHeight="251659264" behindDoc="0" locked="0" layoutInCell="1" allowOverlap="1" wp14:anchorId="5FAC568F" wp14:editId="3D125490">
          <wp:simplePos x="0" y="0"/>
          <wp:positionH relativeFrom="margin">
            <wp:align>left</wp:align>
          </wp:positionH>
          <wp:positionV relativeFrom="paragraph">
            <wp:posOffset>-160123</wp:posOffset>
          </wp:positionV>
          <wp:extent cx="2369057" cy="724811"/>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2369057" cy="724811"/>
                  </a:xfrm>
                  <a:prstGeom prst="rect">
                    <a:avLst/>
                  </a:prstGeom>
                </pic:spPr>
              </pic:pic>
            </a:graphicData>
          </a:graphic>
        </wp:anchor>
      </w:drawing>
    </w:r>
  </w:p>
  <w:p w14:paraId="360533CA" w14:textId="0342E6FE" w:rsidR="000519E8" w:rsidRDefault="000519E8">
    <w:pPr>
      <w:pStyle w:val="Header"/>
    </w:pPr>
  </w:p>
  <w:p w14:paraId="4781FBB8" w14:textId="7649E736" w:rsidR="000519E8" w:rsidRDefault="000519E8">
    <w:pPr>
      <w:pStyle w:val="Header"/>
    </w:pPr>
    <w:r w:rsidRPr="00D26C35">
      <w:rPr>
        <w:b/>
        <w:noProof/>
        <w:color w:val="31808B"/>
        <w:lang w:eastAsia="en-GB"/>
      </w:rPr>
      <w:drawing>
        <wp:anchor distT="0" distB="0" distL="114300" distR="114300" simplePos="0" relativeHeight="251661312" behindDoc="1" locked="0" layoutInCell="1" allowOverlap="1" wp14:anchorId="59FED173" wp14:editId="189DBC34">
          <wp:simplePos x="0" y="0"/>
          <wp:positionH relativeFrom="margin">
            <wp:align>left</wp:align>
          </wp:positionH>
          <wp:positionV relativeFrom="page">
            <wp:posOffset>1120775</wp:posOffset>
          </wp:positionV>
          <wp:extent cx="5757545" cy="603885"/>
          <wp:effectExtent l="0" t="0" r="0" b="5715"/>
          <wp:wrapTight wrapText="bothSides">
            <wp:wrapPolygon edited="0">
              <wp:start x="0" y="0"/>
              <wp:lineTo x="0" y="21123"/>
              <wp:lineTo x="21512" y="21123"/>
              <wp:lineTo x="2151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FPHIA-template-image-banner.png"/>
                  <pic:cNvPicPr/>
                </pic:nvPicPr>
                <pic:blipFill>
                  <a:blip r:embed="rId2"/>
                  <a:stretch>
                    <a:fillRect/>
                  </a:stretch>
                </pic:blipFill>
                <pic:spPr>
                  <a:xfrm>
                    <a:off x="0" y="0"/>
                    <a:ext cx="5757545" cy="603885"/>
                  </a:xfrm>
                  <a:prstGeom prst="rect">
                    <a:avLst/>
                  </a:prstGeom>
                </pic:spPr>
              </pic:pic>
            </a:graphicData>
          </a:graphic>
          <wp14:sizeRelH relativeFrom="margin">
            <wp14:pctWidth>0</wp14:pctWidth>
          </wp14:sizeRelH>
          <wp14:sizeRelV relativeFrom="margin">
            <wp14:pctHeight>0</wp14:pctHeight>
          </wp14:sizeRelV>
        </wp:anchor>
      </w:drawing>
    </w:r>
  </w:p>
  <w:p w14:paraId="3264D727" w14:textId="77777777" w:rsidR="000519E8" w:rsidRDefault="00051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79BA"/>
    <w:multiLevelType w:val="hybridMultilevel"/>
    <w:tmpl w:val="4C2A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057D0"/>
    <w:multiLevelType w:val="hybridMultilevel"/>
    <w:tmpl w:val="252A3C74"/>
    <w:lvl w:ilvl="0" w:tplc="03DC765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9256D8"/>
    <w:multiLevelType w:val="hybridMultilevel"/>
    <w:tmpl w:val="16D6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20F90"/>
    <w:multiLevelType w:val="hybridMultilevel"/>
    <w:tmpl w:val="92E26F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3D83D68"/>
    <w:multiLevelType w:val="hybridMultilevel"/>
    <w:tmpl w:val="FF5C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C294C"/>
    <w:multiLevelType w:val="hybridMultilevel"/>
    <w:tmpl w:val="D7AC8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492831"/>
    <w:multiLevelType w:val="hybridMultilevel"/>
    <w:tmpl w:val="E8465160"/>
    <w:lvl w:ilvl="0" w:tplc="216ECA10">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4A20F6"/>
    <w:multiLevelType w:val="hybridMultilevel"/>
    <w:tmpl w:val="8D6273B2"/>
    <w:lvl w:ilvl="0" w:tplc="E7EE173C">
      <w:start w:val="1"/>
      <w:numFmt w:val="bullet"/>
      <w:lvlText w:val="–"/>
      <w:lvlJc w:val="left"/>
      <w:pPr>
        <w:tabs>
          <w:tab w:val="num" w:pos="720"/>
        </w:tabs>
        <w:ind w:left="720" w:hanging="360"/>
      </w:pPr>
      <w:rPr>
        <w:rFonts w:ascii="Arial" w:hAnsi="Arial" w:hint="default"/>
      </w:rPr>
    </w:lvl>
    <w:lvl w:ilvl="1" w:tplc="9B9E7C46">
      <w:start w:val="43"/>
      <w:numFmt w:val="bullet"/>
      <w:lvlText w:val="–"/>
      <w:lvlJc w:val="left"/>
      <w:pPr>
        <w:tabs>
          <w:tab w:val="num" w:pos="1440"/>
        </w:tabs>
        <w:ind w:left="1440" w:hanging="360"/>
      </w:pPr>
      <w:rPr>
        <w:rFonts w:ascii="Arial" w:hAnsi="Arial" w:hint="default"/>
      </w:rPr>
    </w:lvl>
    <w:lvl w:ilvl="2" w:tplc="E868735A" w:tentative="1">
      <w:start w:val="1"/>
      <w:numFmt w:val="bullet"/>
      <w:lvlText w:val="–"/>
      <w:lvlJc w:val="left"/>
      <w:pPr>
        <w:tabs>
          <w:tab w:val="num" w:pos="2160"/>
        </w:tabs>
        <w:ind w:left="2160" w:hanging="360"/>
      </w:pPr>
      <w:rPr>
        <w:rFonts w:ascii="Arial" w:hAnsi="Arial" w:hint="default"/>
      </w:rPr>
    </w:lvl>
    <w:lvl w:ilvl="3" w:tplc="DE1C8698" w:tentative="1">
      <w:start w:val="1"/>
      <w:numFmt w:val="bullet"/>
      <w:lvlText w:val="–"/>
      <w:lvlJc w:val="left"/>
      <w:pPr>
        <w:tabs>
          <w:tab w:val="num" w:pos="2880"/>
        </w:tabs>
        <w:ind w:left="2880" w:hanging="360"/>
      </w:pPr>
      <w:rPr>
        <w:rFonts w:ascii="Arial" w:hAnsi="Arial" w:hint="default"/>
      </w:rPr>
    </w:lvl>
    <w:lvl w:ilvl="4" w:tplc="01BA8524" w:tentative="1">
      <w:start w:val="1"/>
      <w:numFmt w:val="bullet"/>
      <w:lvlText w:val="–"/>
      <w:lvlJc w:val="left"/>
      <w:pPr>
        <w:tabs>
          <w:tab w:val="num" w:pos="3600"/>
        </w:tabs>
        <w:ind w:left="3600" w:hanging="360"/>
      </w:pPr>
      <w:rPr>
        <w:rFonts w:ascii="Arial" w:hAnsi="Arial" w:hint="default"/>
      </w:rPr>
    </w:lvl>
    <w:lvl w:ilvl="5" w:tplc="4768B812" w:tentative="1">
      <w:start w:val="1"/>
      <w:numFmt w:val="bullet"/>
      <w:lvlText w:val="–"/>
      <w:lvlJc w:val="left"/>
      <w:pPr>
        <w:tabs>
          <w:tab w:val="num" w:pos="4320"/>
        </w:tabs>
        <w:ind w:left="4320" w:hanging="360"/>
      </w:pPr>
      <w:rPr>
        <w:rFonts w:ascii="Arial" w:hAnsi="Arial" w:hint="default"/>
      </w:rPr>
    </w:lvl>
    <w:lvl w:ilvl="6" w:tplc="441C3938" w:tentative="1">
      <w:start w:val="1"/>
      <w:numFmt w:val="bullet"/>
      <w:lvlText w:val="–"/>
      <w:lvlJc w:val="left"/>
      <w:pPr>
        <w:tabs>
          <w:tab w:val="num" w:pos="5040"/>
        </w:tabs>
        <w:ind w:left="5040" w:hanging="360"/>
      </w:pPr>
      <w:rPr>
        <w:rFonts w:ascii="Arial" w:hAnsi="Arial" w:hint="default"/>
      </w:rPr>
    </w:lvl>
    <w:lvl w:ilvl="7" w:tplc="65805348" w:tentative="1">
      <w:start w:val="1"/>
      <w:numFmt w:val="bullet"/>
      <w:lvlText w:val="–"/>
      <w:lvlJc w:val="left"/>
      <w:pPr>
        <w:tabs>
          <w:tab w:val="num" w:pos="5760"/>
        </w:tabs>
        <w:ind w:left="5760" w:hanging="360"/>
      </w:pPr>
      <w:rPr>
        <w:rFonts w:ascii="Arial" w:hAnsi="Arial" w:hint="default"/>
      </w:rPr>
    </w:lvl>
    <w:lvl w:ilvl="8" w:tplc="69A8B8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C865D0"/>
    <w:multiLevelType w:val="hybridMultilevel"/>
    <w:tmpl w:val="50E4C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52E80"/>
    <w:multiLevelType w:val="hybridMultilevel"/>
    <w:tmpl w:val="002E672E"/>
    <w:lvl w:ilvl="0" w:tplc="43FEBF56">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B5015"/>
    <w:multiLevelType w:val="hybridMultilevel"/>
    <w:tmpl w:val="52B444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5D0A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D66725"/>
    <w:multiLevelType w:val="hybridMultilevel"/>
    <w:tmpl w:val="0592F308"/>
    <w:lvl w:ilvl="0" w:tplc="ED4CFE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C04D8"/>
    <w:multiLevelType w:val="hybridMultilevel"/>
    <w:tmpl w:val="52B44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F51ECA"/>
    <w:multiLevelType w:val="hybridMultilevel"/>
    <w:tmpl w:val="CD722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1222D9"/>
    <w:multiLevelType w:val="hybridMultilevel"/>
    <w:tmpl w:val="127EAF1A"/>
    <w:lvl w:ilvl="0" w:tplc="1FC091CA">
      <w:start w:val="1"/>
      <w:numFmt w:val="bullet"/>
      <w:lvlText w:val="–"/>
      <w:lvlJc w:val="left"/>
      <w:pPr>
        <w:tabs>
          <w:tab w:val="num" w:pos="720"/>
        </w:tabs>
        <w:ind w:left="720" w:hanging="360"/>
      </w:pPr>
      <w:rPr>
        <w:rFonts w:ascii="Arial" w:hAnsi="Arial" w:hint="default"/>
      </w:rPr>
    </w:lvl>
    <w:lvl w:ilvl="1" w:tplc="8E20E720" w:tentative="1">
      <w:start w:val="1"/>
      <w:numFmt w:val="bullet"/>
      <w:lvlText w:val="–"/>
      <w:lvlJc w:val="left"/>
      <w:pPr>
        <w:tabs>
          <w:tab w:val="num" w:pos="1440"/>
        </w:tabs>
        <w:ind w:left="1440" w:hanging="360"/>
      </w:pPr>
      <w:rPr>
        <w:rFonts w:ascii="Arial" w:hAnsi="Arial" w:hint="default"/>
      </w:rPr>
    </w:lvl>
    <w:lvl w:ilvl="2" w:tplc="69962CF2" w:tentative="1">
      <w:start w:val="1"/>
      <w:numFmt w:val="bullet"/>
      <w:lvlText w:val="–"/>
      <w:lvlJc w:val="left"/>
      <w:pPr>
        <w:tabs>
          <w:tab w:val="num" w:pos="2160"/>
        </w:tabs>
        <w:ind w:left="2160" w:hanging="360"/>
      </w:pPr>
      <w:rPr>
        <w:rFonts w:ascii="Arial" w:hAnsi="Arial" w:hint="default"/>
      </w:rPr>
    </w:lvl>
    <w:lvl w:ilvl="3" w:tplc="9F82ED36" w:tentative="1">
      <w:start w:val="1"/>
      <w:numFmt w:val="bullet"/>
      <w:lvlText w:val="–"/>
      <w:lvlJc w:val="left"/>
      <w:pPr>
        <w:tabs>
          <w:tab w:val="num" w:pos="2880"/>
        </w:tabs>
        <w:ind w:left="2880" w:hanging="360"/>
      </w:pPr>
      <w:rPr>
        <w:rFonts w:ascii="Arial" w:hAnsi="Arial" w:hint="default"/>
      </w:rPr>
    </w:lvl>
    <w:lvl w:ilvl="4" w:tplc="B3FEC432" w:tentative="1">
      <w:start w:val="1"/>
      <w:numFmt w:val="bullet"/>
      <w:lvlText w:val="–"/>
      <w:lvlJc w:val="left"/>
      <w:pPr>
        <w:tabs>
          <w:tab w:val="num" w:pos="3600"/>
        </w:tabs>
        <w:ind w:left="3600" w:hanging="360"/>
      </w:pPr>
      <w:rPr>
        <w:rFonts w:ascii="Arial" w:hAnsi="Arial" w:hint="default"/>
      </w:rPr>
    </w:lvl>
    <w:lvl w:ilvl="5" w:tplc="6E32CBCE" w:tentative="1">
      <w:start w:val="1"/>
      <w:numFmt w:val="bullet"/>
      <w:lvlText w:val="–"/>
      <w:lvlJc w:val="left"/>
      <w:pPr>
        <w:tabs>
          <w:tab w:val="num" w:pos="4320"/>
        </w:tabs>
        <w:ind w:left="4320" w:hanging="360"/>
      </w:pPr>
      <w:rPr>
        <w:rFonts w:ascii="Arial" w:hAnsi="Arial" w:hint="default"/>
      </w:rPr>
    </w:lvl>
    <w:lvl w:ilvl="6" w:tplc="337EECC4" w:tentative="1">
      <w:start w:val="1"/>
      <w:numFmt w:val="bullet"/>
      <w:lvlText w:val="–"/>
      <w:lvlJc w:val="left"/>
      <w:pPr>
        <w:tabs>
          <w:tab w:val="num" w:pos="5040"/>
        </w:tabs>
        <w:ind w:left="5040" w:hanging="360"/>
      </w:pPr>
      <w:rPr>
        <w:rFonts w:ascii="Arial" w:hAnsi="Arial" w:hint="default"/>
      </w:rPr>
    </w:lvl>
    <w:lvl w:ilvl="7" w:tplc="A4AE554A" w:tentative="1">
      <w:start w:val="1"/>
      <w:numFmt w:val="bullet"/>
      <w:lvlText w:val="–"/>
      <w:lvlJc w:val="left"/>
      <w:pPr>
        <w:tabs>
          <w:tab w:val="num" w:pos="5760"/>
        </w:tabs>
        <w:ind w:left="5760" w:hanging="360"/>
      </w:pPr>
      <w:rPr>
        <w:rFonts w:ascii="Arial" w:hAnsi="Arial" w:hint="default"/>
      </w:rPr>
    </w:lvl>
    <w:lvl w:ilvl="8" w:tplc="650607F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1A49B8"/>
    <w:multiLevelType w:val="hybridMultilevel"/>
    <w:tmpl w:val="A09063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4651A6"/>
    <w:multiLevelType w:val="hybridMultilevel"/>
    <w:tmpl w:val="2B96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61BA0"/>
    <w:multiLevelType w:val="hybridMultilevel"/>
    <w:tmpl w:val="0D46B0CC"/>
    <w:lvl w:ilvl="0" w:tplc="32AEBEEE">
      <w:start w:val="1"/>
      <w:numFmt w:val="bullet"/>
      <w:lvlText w:val="–"/>
      <w:lvlJc w:val="left"/>
      <w:pPr>
        <w:tabs>
          <w:tab w:val="num" w:pos="720"/>
        </w:tabs>
        <w:ind w:left="720" w:hanging="360"/>
      </w:pPr>
      <w:rPr>
        <w:rFonts w:ascii="Arial" w:hAnsi="Arial" w:hint="default"/>
      </w:rPr>
    </w:lvl>
    <w:lvl w:ilvl="1" w:tplc="43523636" w:tentative="1">
      <w:start w:val="1"/>
      <w:numFmt w:val="bullet"/>
      <w:lvlText w:val="–"/>
      <w:lvlJc w:val="left"/>
      <w:pPr>
        <w:tabs>
          <w:tab w:val="num" w:pos="1440"/>
        </w:tabs>
        <w:ind w:left="1440" w:hanging="360"/>
      </w:pPr>
      <w:rPr>
        <w:rFonts w:ascii="Arial" w:hAnsi="Arial" w:hint="default"/>
      </w:rPr>
    </w:lvl>
    <w:lvl w:ilvl="2" w:tplc="1040B426" w:tentative="1">
      <w:start w:val="1"/>
      <w:numFmt w:val="bullet"/>
      <w:lvlText w:val="–"/>
      <w:lvlJc w:val="left"/>
      <w:pPr>
        <w:tabs>
          <w:tab w:val="num" w:pos="2160"/>
        </w:tabs>
        <w:ind w:left="2160" w:hanging="360"/>
      </w:pPr>
      <w:rPr>
        <w:rFonts w:ascii="Arial" w:hAnsi="Arial" w:hint="default"/>
      </w:rPr>
    </w:lvl>
    <w:lvl w:ilvl="3" w:tplc="8CCCE366" w:tentative="1">
      <w:start w:val="1"/>
      <w:numFmt w:val="bullet"/>
      <w:lvlText w:val="–"/>
      <w:lvlJc w:val="left"/>
      <w:pPr>
        <w:tabs>
          <w:tab w:val="num" w:pos="2880"/>
        </w:tabs>
        <w:ind w:left="2880" w:hanging="360"/>
      </w:pPr>
      <w:rPr>
        <w:rFonts w:ascii="Arial" w:hAnsi="Arial" w:hint="default"/>
      </w:rPr>
    </w:lvl>
    <w:lvl w:ilvl="4" w:tplc="5BBE25E2" w:tentative="1">
      <w:start w:val="1"/>
      <w:numFmt w:val="bullet"/>
      <w:lvlText w:val="–"/>
      <w:lvlJc w:val="left"/>
      <w:pPr>
        <w:tabs>
          <w:tab w:val="num" w:pos="3600"/>
        </w:tabs>
        <w:ind w:left="3600" w:hanging="360"/>
      </w:pPr>
      <w:rPr>
        <w:rFonts w:ascii="Arial" w:hAnsi="Arial" w:hint="default"/>
      </w:rPr>
    </w:lvl>
    <w:lvl w:ilvl="5" w:tplc="91A02178" w:tentative="1">
      <w:start w:val="1"/>
      <w:numFmt w:val="bullet"/>
      <w:lvlText w:val="–"/>
      <w:lvlJc w:val="left"/>
      <w:pPr>
        <w:tabs>
          <w:tab w:val="num" w:pos="4320"/>
        </w:tabs>
        <w:ind w:left="4320" w:hanging="360"/>
      </w:pPr>
      <w:rPr>
        <w:rFonts w:ascii="Arial" w:hAnsi="Arial" w:hint="default"/>
      </w:rPr>
    </w:lvl>
    <w:lvl w:ilvl="6" w:tplc="71729548" w:tentative="1">
      <w:start w:val="1"/>
      <w:numFmt w:val="bullet"/>
      <w:lvlText w:val="–"/>
      <w:lvlJc w:val="left"/>
      <w:pPr>
        <w:tabs>
          <w:tab w:val="num" w:pos="5040"/>
        </w:tabs>
        <w:ind w:left="5040" w:hanging="360"/>
      </w:pPr>
      <w:rPr>
        <w:rFonts w:ascii="Arial" w:hAnsi="Arial" w:hint="default"/>
      </w:rPr>
    </w:lvl>
    <w:lvl w:ilvl="7" w:tplc="7E9C941A" w:tentative="1">
      <w:start w:val="1"/>
      <w:numFmt w:val="bullet"/>
      <w:lvlText w:val="–"/>
      <w:lvlJc w:val="left"/>
      <w:pPr>
        <w:tabs>
          <w:tab w:val="num" w:pos="5760"/>
        </w:tabs>
        <w:ind w:left="5760" w:hanging="360"/>
      </w:pPr>
      <w:rPr>
        <w:rFonts w:ascii="Arial" w:hAnsi="Arial" w:hint="default"/>
      </w:rPr>
    </w:lvl>
    <w:lvl w:ilvl="8" w:tplc="320693A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430586"/>
    <w:multiLevelType w:val="hybridMultilevel"/>
    <w:tmpl w:val="0EAC4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C57815"/>
    <w:multiLevelType w:val="hybridMultilevel"/>
    <w:tmpl w:val="26A62306"/>
    <w:lvl w:ilvl="0" w:tplc="5054207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E76A50"/>
    <w:multiLevelType w:val="hybridMultilevel"/>
    <w:tmpl w:val="7EB2181C"/>
    <w:lvl w:ilvl="0" w:tplc="2D600998">
      <w:start w:val="1"/>
      <w:numFmt w:val="bullet"/>
      <w:lvlText w:val="–"/>
      <w:lvlJc w:val="left"/>
      <w:pPr>
        <w:tabs>
          <w:tab w:val="num" w:pos="720"/>
        </w:tabs>
        <w:ind w:left="720" w:hanging="360"/>
      </w:pPr>
      <w:rPr>
        <w:rFonts w:ascii="Arial" w:hAnsi="Arial" w:hint="default"/>
      </w:rPr>
    </w:lvl>
    <w:lvl w:ilvl="1" w:tplc="6F626226" w:tentative="1">
      <w:start w:val="1"/>
      <w:numFmt w:val="bullet"/>
      <w:lvlText w:val="–"/>
      <w:lvlJc w:val="left"/>
      <w:pPr>
        <w:tabs>
          <w:tab w:val="num" w:pos="1440"/>
        </w:tabs>
        <w:ind w:left="1440" w:hanging="360"/>
      </w:pPr>
      <w:rPr>
        <w:rFonts w:ascii="Arial" w:hAnsi="Arial" w:hint="default"/>
      </w:rPr>
    </w:lvl>
    <w:lvl w:ilvl="2" w:tplc="C624D98C" w:tentative="1">
      <w:start w:val="1"/>
      <w:numFmt w:val="bullet"/>
      <w:lvlText w:val="–"/>
      <w:lvlJc w:val="left"/>
      <w:pPr>
        <w:tabs>
          <w:tab w:val="num" w:pos="2160"/>
        </w:tabs>
        <w:ind w:left="2160" w:hanging="360"/>
      </w:pPr>
      <w:rPr>
        <w:rFonts w:ascii="Arial" w:hAnsi="Arial" w:hint="default"/>
      </w:rPr>
    </w:lvl>
    <w:lvl w:ilvl="3" w:tplc="761A3EB2" w:tentative="1">
      <w:start w:val="1"/>
      <w:numFmt w:val="bullet"/>
      <w:lvlText w:val="–"/>
      <w:lvlJc w:val="left"/>
      <w:pPr>
        <w:tabs>
          <w:tab w:val="num" w:pos="2880"/>
        </w:tabs>
        <w:ind w:left="2880" w:hanging="360"/>
      </w:pPr>
      <w:rPr>
        <w:rFonts w:ascii="Arial" w:hAnsi="Arial" w:hint="default"/>
      </w:rPr>
    </w:lvl>
    <w:lvl w:ilvl="4" w:tplc="8536E6B4" w:tentative="1">
      <w:start w:val="1"/>
      <w:numFmt w:val="bullet"/>
      <w:lvlText w:val="–"/>
      <w:lvlJc w:val="left"/>
      <w:pPr>
        <w:tabs>
          <w:tab w:val="num" w:pos="3600"/>
        </w:tabs>
        <w:ind w:left="3600" w:hanging="360"/>
      </w:pPr>
      <w:rPr>
        <w:rFonts w:ascii="Arial" w:hAnsi="Arial" w:hint="default"/>
      </w:rPr>
    </w:lvl>
    <w:lvl w:ilvl="5" w:tplc="0BB47DB4" w:tentative="1">
      <w:start w:val="1"/>
      <w:numFmt w:val="bullet"/>
      <w:lvlText w:val="–"/>
      <w:lvlJc w:val="left"/>
      <w:pPr>
        <w:tabs>
          <w:tab w:val="num" w:pos="4320"/>
        </w:tabs>
        <w:ind w:left="4320" w:hanging="360"/>
      </w:pPr>
      <w:rPr>
        <w:rFonts w:ascii="Arial" w:hAnsi="Arial" w:hint="default"/>
      </w:rPr>
    </w:lvl>
    <w:lvl w:ilvl="6" w:tplc="E68ABE3A" w:tentative="1">
      <w:start w:val="1"/>
      <w:numFmt w:val="bullet"/>
      <w:lvlText w:val="–"/>
      <w:lvlJc w:val="left"/>
      <w:pPr>
        <w:tabs>
          <w:tab w:val="num" w:pos="5040"/>
        </w:tabs>
        <w:ind w:left="5040" w:hanging="360"/>
      </w:pPr>
      <w:rPr>
        <w:rFonts w:ascii="Arial" w:hAnsi="Arial" w:hint="default"/>
      </w:rPr>
    </w:lvl>
    <w:lvl w:ilvl="7" w:tplc="2D3CE64E" w:tentative="1">
      <w:start w:val="1"/>
      <w:numFmt w:val="bullet"/>
      <w:lvlText w:val="–"/>
      <w:lvlJc w:val="left"/>
      <w:pPr>
        <w:tabs>
          <w:tab w:val="num" w:pos="5760"/>
        </w:tabs>
        <w:ind w:left="5760" w:hanging="360"/>
      </w:pPr>
      <w:rPr>
        <w:rFonts w:ascii="Arial" w:hAnsi="Arial" w:hint="default"/>
      </w:rPr>
    </w:lvl>
    <w:lvl w:ilvl="8" w:tplc="F614F5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8D2200"/>
    <w:multiLevelType w:val="hybridMultilevel"/>
    <w:tmpl w:val="21DA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632E7F"/>
    <w:multiLevelType w:val="hybridMultilevel"/>
    <w:tmpl w:val="B1DA7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C974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E05462"/>
    <w:multiLevelType w:val="hybridMultilevel"/>
    <w:tmpl w:val="E536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ED5379"/>
    <w:multiLevelType w:val="hybridMultilevel"/>
    <w:tmpl w:val="455E7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5"/>
  </w:num>
  <w:num w:numId="4">
    <w:abstractNumId w:val="7"/>
  </w:num>
  <w:num w:numId="5">
    <w:abstractNumId w:val="9"/>
  </w:num>
  <w:num w:numId="6">
    <w:abstractNumId w:val="4"/>
  </w:num>
  <w:num w:numId="7">
    <w:abstractNumId w:val="17"/>
  </w:num>
  <w:num w:numId="8">
    <w:abstractNumId w:val="26"/>
  </w:num>
  <w:num w:numId="9">
    <w:abstractNumId w:val="16"/>
  </w:num>
  <w:num w:numId="10">
    <w:abstractNumId w:val="22"/>
  </w:num>
  <w:num w:numId="11">
    <w:abstractNumId w:val="20"/>
  </w:num>
  <w:num w:numId="12">
    <w:abstractNumId w:val="23"/>
  </w:num>
  <w:num w:numId="13">
    <w:abstractNumId w:val="14"/>
  </w:num>
  <w:num w:numId="14">
    <w:abstractNumId w:val="6"/>
  </w:num>
  <w:num w:numId="15">
    <w:abstractNumId w:val="0"/>
  </w:num>
  <w:num w:numId="16">
    <w:abstractNumId w:val="24"/>
  </w:num>
  <w:num w:numId="17">
    <w:abstractNumId w:val="19"/>
  </w:num>
  <w:num w:numId="18">
    <w:abstractNumId w:val="11"/>
  </w:num>
  <w:num w:numId="19">
    <w:abstractNumId w:val="8"/>
  </w:num>
  <w:num w:numId="20">
    <w:abstractNumId w:val="1"/>
  </w:num>
  <w:num w:numId="21">
    <w:abstractNumId w:val="25"/>
  </w:num>
  <w:num w:numId="22">
    <w:abstractNumId w:val="12"/>
  </w:num>
  <w:num w:numId="23">
    <w:abstractNumId w:val="5"/>
  </w:num>
  <w:num w:numId="24">
    <w:abstractNumId w:val="2"/>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52"/>
    <w:rsid w:val="00031D66"/>
    <w:rsid w:val="000345E3"/>
    <w:rsid w:val="000407B2"/>
    <w:rsid w:val="00051633"/>
    <w:rsid w:val="000519E8"/>
    <w:rsid w:val="00054152"/>
    <w:rsid w:val="00064E42"/>
    <w:rsid w:val="000666AB"/>
    <w:rsid w:val="00082D74"/>
    <w:rsid w:val="00087F72"/>
    <w:rsid w:val="0009049C"/>
    <w:rsid w:val="00096D62"/>
    <w:rsid w:val="000B7702"/>
    <w:rsid w:val="000D4BFD"/>
    <w:rsid w:val="000E76EA"/>
    <w:rsid w:val="000F266A"/>
    <w:rsid w:val="00102F01"/>
    <w:rsid w:val="00107E5C"/>
    <w:rsid w:val="001330CF"/>
    <w:rsid w:val="00134A89"/>
    <w:rsid w:val="00140F04"/>
    <w:rsid w:val="00147D87"/>
    <w:rsid w:val="00152B75"/>
    <w:rsid w:val="0015617F"/>
    <w:rsid w:val="00170709"/>
    <w:rsid w:val="00187B89"/>
    <w:rsid w:val="001A7EF2"/>
    <w:rsid w:val="001B4591"/>
    <w:rsid w:val="001C0CA2"/>
    <w:rsid w:val="001D29D3"/>
    <w:rsid w:val="001D4027"/>
    <w:rsid w:val="001D6BAD"/>
    <w:rsid w:val="001F3A30"/>
    <w:rsid w:val="001F41CE"/>
    <w:rsid w:val="002025D9"/>
    <w:rsid w:val="0020588F"/>
    <w:rsid w:val="00222FFB"/>
    <w:rsid w:val="0024340B"/>
    <w:rsid w:val="00244183"/>
    <w:rsid w:val="0024594E"/>
    <w:rsid w:val="002558BA"/>
    <w:rsid w:val="002621AB"/>
    <w:rsid w:val="00263090"/>
    <w:rsid w:val="002636CC"/>
    <w:rsid w:val="00263D8A"/>
    <w:rsid w:val="00263FD3"/>
    <w:rsid w:val="00277A64"/>
    <w:rsid w:val="00285B24"/>
    <w:rsid w:val="00293E98"/>
    <w:rsid w:val="00296B35"/>
    <w:rsid w:val="002A639E"/>
    <w:rsid w:val="002C70DF"/>
    <w:rsid w:val="002C75C2"/>
    <w:rsid w:val="002E1BCF"/>
    <w:rsid w:val="002F1C6C"/>
    <w:rsid w:val="00302029"/>
    <w:rsid w:val="003044FF"/>
    <w:rsid w:val="00304C98"/>
    <w:rsid w:val="003217D6"/>
    <w:rsid w:val="003224F1"/>
    <w:rsid w:val="003227A2"/>
    <w:rsid w:val="00334646"/>
    <w:rsid w:val="0033542C"/>
    <w:rsid w:val="00347709"/>
    <w:rsid w:val="00352F2C"/>
    <w:rsid w:val="003601DB"/>
    <w:rsid w:val="003619E9"/>
    <w:rsid w:val="003709E2"/>
    <w:rsid w:val="00370D1F"/>
    <w:rsid w:val="0037782C"/>
    <w:rsid w:val="0038067C"/>
    <w:rsid w:val="00384946"/>
    <w:rsid w:val="003942DB"/>
    <w:rsid w:val="003963D7"/>
    <w:rsid w:val="003A2DD6"/>
    <w:rsid w:val="003A65B0"/>
    <w:rsid w:val="003B2DD8"/>
    <w:rsid w:val="003C2004"/>
    <w:rsid w:val="003C712C"/>
    <w:rsid w:val="003D1E7C"/>
    <w:rsid w:val="003D3B6B"/>
    <w:rsid w:val="003D48C3"/>
    <w:rsid w:val="003D5726"/>
    <w:rsid w:val="003D6C33"/>
    <w:rsid w:val="003E0462"/>
    <w:rsid w:val="003E3A68"/>
    <w:rsid w:val="00406CAF"/>
    <w:rsid w:val="00406D36"/>
    <w:rsid w:val="00406F61"/>
    <w:rsid w:val="00422B03"/>
    <w:rsid w:val="00435A7A"/>
    <w:rsid w:val="00436F99"/>
    <w:rsid w:val="00446AB2"/>
    <w:rsid w:val="00460AAF"/>
    <w:rsid w:val="004615C8"/>
    <w:rsid w:val="00461B59"/>
    <w:rsid w:val="00466FDF"/>
    <w:rsid w:val="00482B89"/>
    <w:rsid w:val="004A47D0"/>
    <w:rsid w:val="004C00F1"/>
    <w:rsid w:val="004D3B7A"/>
    <w:rsid w:val="004D525A"/>
    <w:rsid w:val="004E41F7"/>
    <w:rsid w:val="004E5C95"/>
    <w:rsid w:val="004E6A61"/>
    <w:rsid w:val="004F4264"/>
    <w:rsid w:val="004F4879"/>
    <w:rsid w:val="00506DD8"/>
    <w:rsid w:val="005134D4"/>
    <w:rsid w:val="00551E2C"/>
    <w:rsid w:val="00556D2B"/>
    <w:rsid w:val="00557C78"/>
    <w:rsid w:val="00560DD8"/>
    <w:rsid w:val="0056146E"/>
    <w:rsid w:val="00562778"/>
    <w:rsid w:val="00564403"/>
    <w:rsid w:val="00574298"/>
    <w:rsid w:val="005747AD"/>
    <w:rsid w:val="00581D08"/>
    <w:rsid w:val="00583ED8"/>
    <w:rsid w:val="00591CD9"/>
    <w:rsid w:val="005B35C0"/>
    <w:rsid w:val="005B6F2B"/>
    <w:rsid w:val="005D64E8"/>
    <w:rsid w:val="005E0692"/>
    <w:rsid w:val="005F18AB"/>
    <w:rsid w:val="005F2F46"/>
    <w:rsid w:val="00606AA8"/>
    <w:rsid w:val="00613044"/>
    <w:rsid w:val="00642E70"/>
    <w:rsid w:val="00644ABC"/>
    <w:rsid w:val="00676A22"/>
    <w:rsid w:val="006870B5"/>
    <w:rsid w:val="006931BB"/>
    <w:rsid w:val="006B602E"/>
    <w:rsid w:val="006D2F86"/>
    <w:rsid w:val="006F034D"/>
    <w:rsid w:val="006F4340"/>
    <w:rsid w:val="006F7035"/>
    <w:rsid w:val="007035C4"/>
    <w:rsid w:val="00723F18"/>
    <w:rsid w:val="007314D5"/>
    <w:rsid w:val="00735DA1"/>
    <w:rsid w:val="00762153"/>
    <w:rsid w:val="007678DC"/>
    <w:rsid w:val="00773116"/>
    <w:rsid w:val="007819C9"/>
    <w:rsid w:val="00782062"/>
    <w:rsid w:val="00790CF6"/>
    <w:rsid w:val="00794648"/>
    <w:rsid w:val="00794CB5"/>
    <w:rsid w:val="007A482F"/>
    <w:rsid w:val="007C105C"/>
    <w:rsid w:val="007C1146"/>
    <w:rsid w:val="007D382A"/>
    <w:rsid w:val="007E7D7B"/>
    <w:rsid w:val="007F53CB"/>
    <w:rsid w:val="007F774C"/>
    <w:rsid w:val="008008E8"/>
    <w:rsid w:val="00814F7B"/>
    <w:rsid w:val="008153FF"/>
    <w:rsid w:val="008263D9"/>
    <w:rsid w:val="00833C80"/>
    <w:rsid w:val="008366B9"/>
    <w:rsid w:val="00847888"/>
    <w:rsid w:val="00853F97"/>
    <w:rsid w:val="00856E32"/>
    <w:rsid w:val="008627AC"/>
    <w:rsid w:val="00882F02"/>
    <w:rsid w:val="008A6E86"/>
    <w:rsid w:val="008B0434"/>
    <w:rsid w:val="008B6559"/>
    <w:rsid w:val="008B7B15"/>
    <w:rsid w:val="008C040E"/>
    <w:rsid w:val="008C0A2A"/>
    <w:rsid w:val="008C4EB9"/>
    <w:rsid w:val="008C76EF"/>
    <w:rsid w:val="008D038F"/>
    <w:rsid w:val="008E1306"/>
    <w:rsid w:val="008E7800"/>
    <w:rsid w:val="00903B3F"/>
    <w:rsid w:val="00904682"/>
    <w:rsid w:val="00911DA2"/>
    <w:rsid w:val="0091519F"/>
    <w:rsid w:val="00917057"/>
    <w:rsid w:val="009249F5"/>
    <w:rsid w:val="00932222"/>
    <w:rsid w:val="00932481"/>
    <w:rsid w:val="00932A17"/>
    <w:rsid w:val="0093503C"/>
    <w:rsid w:val="0093543F"/>
    <w:rsid w:val="00937075"/>
    <w:rsid w:val="009540C8"/>
    <w:rsid w:val="00956850"/>
    <w:rsid w:val="00957509"/>
    <w:rsid w:val="00965508"/>
    <w:rsid w:val="00992F1E"/>
    <w:rsid w:val="00995048"/>
    <w:rsid w:val="00996815"/>
    <w:rsid w:val="009B2734"/>
    <w:rsid w:val="009D2731"/>
    <w:rsid w:val="009D52DA"/>
    <w:rsid w:val="009E4D4E"/>
    <w:rsid w:val="009F0E02"/>
    <w:rsid w:val="00A17D45"/>
    <w:rsid w:val="00A32F57"/>
    <w:rsid w:val="00A408CB"/>
    <w:rsid w:val="00A57598"/>
    <w:rsid w:val="00A631B1"/>
    <w:rsid w:val="00A804A6"/>
    <w:rsid w:val="00A82039"/>
    <w:rsid w:val="00A959BA"/>
    <w:rsid w:val="00AA5275"/>
    <w:rsid w:val="00AB0BCA"/>
    <w:rsid w:val="00AB4ACC"/>
    <w:rsid w:val="00AC0ED1"/>
    <w:rsid w:val="00AE094A"/>
    <w:rsid w:val="00AE519E"/>
    <w:rsid w:val="00AF088B"/>
    <w:rsid w:val="00AF5EE4"/>
    <w:rsid w:val="00B0402C"/>
    <w:rsid w:val="00B04A00"/>
    <w:rsid w:val="00B33727"/>
    <w:rsid w:val="00B40DA7"/>
    <w:rsid w:val="00B54695"/>
    <w:rsid w:val="00B922A1"/>
    <w:rsid w:val="00B96F9C"/>
    <w:rsid w:val="00B97C43"/>
    <w:rsid w:val="00BA25C5"/>
    <w:rsid w:val="00BD035C"/>
    <w:rsid w:val="00BD2C39"/>
    <w:rsid w:val="00BD3992"/>
    <w:rsid w:val="00BD5156"/>
    <w:rsid w:val="00BE4233"/>
    <w:rsid w:val="00BF3171"/>
    <w:rsid w:val="00C11501"/>
    <w:rsid w:val="00C2085D"/>
    <w:rsid w:val="00C21652"/>
    <w:rsid w:val="00C270AB"/>
    <w:rsid w:val="00C3409C"/>
    <w:rsid w:val="00C34DD4"/>
    <w:rsid w:val="00C40CF9"/>
    <w:rsid w:val="00C4128B"/>
    <w:rsid w:val="00C55411"/>
    <w:rsid w:val="00C574F7"/>
    <w:rsid w:val="00C7251C"/>
    <w:rsid w:val="00C84E9B"/>
    <w:rsid w:val="00C87C38"/>
    <w:rsid w:val="00C94E67"/>
    <w:rsid w:val="00C94FE2"/>
    <w:rsid w:val="00CD4933"/>
    <w:rsid w:val="00CD4A8D"/>
    <w:rsid w:val="00CE747D"/>
    <w:rsid w:val="00D01586"/>
    <w:rsid w:val="00D0177D"/>
    <w:rsid w:val="00D05A74"/>
    <w:rsid w:val="00D06565"/>
    <w:rsid w:val="00D127DE"/>
    <w:rsid w:val="00D17705"/>
    <w:rsid w:val="00D24C34"/>
    <w:rsid w:val="00D263C5"/>
    <w:rsid w:val="00D26C35"/>
    <w:rsid w:val="00D27A8D"/>
    <w:rsid w:val="00D30453"/>
    <w:rsid w:val="00D428A1"/>
    <w:rsid w:val="00D51C9D"/>
    <w:rsid w:val="00D53CED"/>
    <w:rsid w:val="00D843A4"/>
    <w:rsid w:val="00D94DD9"/>
    <w:rsid w:val="00D95FD6"/>
    <w:rsid w:val="00DA2488"/>
    <w:rsid w:val="00DA47BA"/>
    <w:rsid w:val="00DC6E5C"/>
    <w:rsid w:val="00DD4032"/>
    <w:rsid w:val="00DD66B8"/>
    <w:rsid w:val="00DF1556"/>
    <w:rsid w:val="00DF78F6"/>
    <w:rsid w:val="00E070B5"/>
    <w:rsid w:val="00E103D4"/>
    <w:rsid w:val="00E11890"/>
    <w:rsid w:val="00E316E7"/>
    <w:rsid w:val="00E3432A"/>
    <w:rsid w:val="00E44108"/>
    <w:rsid w:val="00E50388"/>
    <w:rsid w:val="00E60A76"/>
    <w:rsid w:val="00E66622"/>
    <w:rsid w:val="00E84128"/>
    <w:rsid w:val="00E8681C"/>
    <w:rsid w:val="00EA2FFB"/>
    <w:rsid w:val="00EA695B"/>
    <w:rsid w:val="00EA793E"/>
    <w:rsid w:val="00EC1391"/>
    <w:rsid w:val="00ED01C6"/>
    <w:rsid w:val="00ED0EE3"/>
    <w:rsid w:val="00EE151A"/>
    <w:rsid w:val="00EE240D"/>
    <w:rsid w:val="00EE253C"/>
    <w:rsid w:val="00EE56E2"/>
    <w:rsid w:val="00EF0C26"/>
    <w:rsid w:val="00EF386F"/>
    <w:rsid w:val="00F05C3D"/>
    <w:rsid w:val="00F12BF2"/>
    <w:rsid w:val="00F1452E"/>
    <w:rsid w:val="00F36560"/>
    <w:rsid w:val="00F5077C"/>
    <w:rsid w:val="00F54AC0"/>
    <w:rsid w:val="00F60B09"/>
    <w:rsid w:val="00F73806"/>
    <w:rsid w:val="00F864DF"/>
    <w:rsid w:val="00F94369"/>
    <w:rsid w:val="00F9603B"/>
    <w:rsid w:val="00FA3A08"/>
    <w:rsid w:val="00FE310B"/>
    <w:rsid w:val="00FE34E7"/>
    <w:rsid w:val="00FF305B"/>
    <w:rsid w:val="361A5B84"/>
    <w:rsid w:val="4D59A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79B11"/>
  <w15:chartTrackingRefBased/>
  <w15:docId w15:val="{5B41C073-8FEF-4EB0-8C4B-33F7E44A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411"/>
  </w:style>
  <w:style w:type="paragraph" w:styleId="Heading1">
    <w:name w:val="heading 1"/>
    <w:basedOn w:val="Normal"/>
    <w:next w:val="Normal"/>
    <w:link w:val="Heading1Char"/>
    <w:uiPriority w:val="9"/>
    <w:qFormat/>
    <w:rsid w:val="000541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56D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E34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15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56D2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556D2B"/>
    <w:rPr>
      <w:sz w:val="16"/>
      <w:szCs w:val="16"/>
    </w:rPr>
  </w:style>
  <w:style w:type="paragraph" w:styleId="CommentText">
    <w:name w:val="annotation text"/>
    <w:basedOn w:val="Normal"/>
    <w:link w:val="CommentTextChar"/>
    <w:uiPriority w:val="99"/>
    <w:semiHidden/>
    <w:unhideWhenUsed/>
    <w:rsid w:val="00556D2B"/>
    <w:pPr>
      <w:spacing w:line="240" w:lineRule="auto"/>
    </w:pPr>
    <w:rPr>
      <w:sz w:val="20"/>
      <w:szCs w:val="20"/>
    </w:rPr>
  </w:style>
  <w:style w:type="character" w:customStyle="1" w:styleId="CommentTextChar">
    <w:name w:val="Comment Text Char"/>
    <w:basedOn w:val="DefaultParagraphFont"/>
    <w:link w:val="CommentText"/>
    <w:uiPriority w:val="99"/>
    <w:semiHidden/>
    <w:rsid w:val="00556D2B"/>
    <w:rPr>
      <w:sz w:val="20"/>
      <w:szCs w:val="20"/>
    </w:rPr>
  </w:style>
  <w:style w:type="paragraph" w:styleId="CommentSubject">
    <w:name w:val="annotation subject"/>
    <w:basedOn w:val="CommentText"/>
    <w:next w:val="CommentText"/>
    <w:link w:val="CommentSubjectChar"/>
    <w:uiPriority w:val="99"/>
    <w:semiHidden/>
    <w:unhideWhenUsed/>
    <w:rsid w:val="00556D2B"/>
    <w:rPr>
      <w:b/>
      <w:bCs/>
    </w:rPr>
  </w:style>
  <w:style w:type="character" w:customStyle="1" w:styleId="CommentSubjectChar">
    <w:name w:val="Comment Subject Char"/>
    <w:basedOn w:val="CommentTextChar"/>
    <w:link w:val="CommentSubject"/>
    <w:uiPriority w:val="99"/>
    <w:semiHidden/>
    <w:rsid w:val="00556D2B"/>
    <w:rPr>
      <w:b/>
      <w:bCs/>
      <w:sz w:val="20"/>
      <w:szCs w:val="20"/>
    </w:rPr>
  </w:style>
  <w:style w:type="paragraph" w:styleId="BalloonText">
    <w:name w:val="Balloon Text"/>
    <w:basedOn w:val="Normal"/>
    <w:link w:val="BalloonTextChar"/>
    <w:uiPriority w:val="99"/>
    <w:semiHidden/>
    <w:unhideWhenUsed/>
    <w:rsid w:val="00556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D2B"/>
    <w:rPr>
      <w:rFonts w:ascii="Segoe UI" w:hAnsi="Segoe UI" w:cs="Segoe UI"/>
      <w:sz w:val="18"/>
      <w:szCs w:val="18"/>
    </w:rPr>
  </w:style>
  <w:style w:type="character" w:customStyle="1" w:styleId="Heading3Char">
    <w:name w:val="Heading 3 Char"/>
    <w:basedOn w:val="DefaultParagraphFont"/>
    <w:link w:val="Heading3"/>
    <w:uiPriority w:val="9"/>
    <w:rsid w:val="00FE34E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70709"/>
    <w:pPr>
      <w:spacing w:after="0" w:line="240" w:lineRule="auto"/>
      <w:ind w:left="720"/>
      <w:contextualSpacing/>
    </w:pPr>
    <w:rPr>
      <w:rFonts w:ascii="Times New Roman" w:hAnsi="Times New Roman" w:cs="Times New Roman"/>
      <w:sz w:val="24"/>
      <w:szCs w:val="24"/>
      <w:lang w:eastAsia="en-GB"/>
    </w:rPr>
  </w:style>
  <w:style w:type="table" w:styleId="TableGrid">
    <w:name w:val="Table Grid"/>
    <w:basedOn w:val="TableNormal"/>
    <w:rsid w:val="0017070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678DC"/>
    <w:rPr>
      <w:color w:val="0000FF"/>
      <w:u w:val="single"/>
    </w:rPr>
  </w:style>
  <w:style w:type="character" w:styleId="Strong">
    <w:name w:val="Strong"/>
    <w:basedOn w:val="DefaultParagraphFont"/>
    <w:uiPriority w:val="22"/>
    <w:qFormat/>
    <w:rsid w:val="007678DC"/>
    <w:rPr>
      <w:b/>
      <w:bCs/>
    </w:rPr>
  </w:style>
  <w:style w:type="paragraph" w:styleId="NormalWeb">
    <w:name w:val="Normal (Web)"/>
    <w:basedOn w:val="Normal"/>
    <w:uiPriority w:val="99"/>
    <w:semiHidden/>
    <w:unhideWhenUsed/>
    <w:rsid w:val="00B040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222FFB"/>
    <w:rPr>
      <w:rFonts w:ascii="Arial" w:hAnsi="Arial" w:cs="Arial" w:hint="default"/>
    </w:rPr>
  </w:style>
  <w:style w:type="character" w:customStyle="1" w:styleId="nowrap1">
    <w:name w:val="nowrap1"/>
    <w:basedOn w:val="DefaultParagraphFont"/>
    <w:rsid w:val="00C11501"/>
  </w:style>
  <w:style w:type="character" w:customStyle="1" w:styleId="highlight">
    <w:name w:val="highlight"/>
    <w:basedOn w:val="DefaultParagraphFont"/>
    <w:rsid w:val="00BD3992"/>
    <w:rPr>
      <w:shd w:val="clear" w:color="auto" w:fill="A2F0F0"/>
    </w:rPr>
  </w:style>
  <w:style w:type="character" w:customStyle="1" w:styleId="bg1">
    <w:name w:val="bg1"/>
    <w:basedOn w:val="DefaultParagraphFont"/>
    <w:rsid w:val="00BD3992"/>
    <w:rPr>
      <w:b/>
      <w:bCs/>
      <w:color w:val="008000"/>
    </w:rPr>
  </w:style>
  <w:style w:type="paragraph" w:styleId="NoSpacing">
    <w:name w:val="No Spacing"/>
    <w:link w:val="NoSpacingChar"/>
    <w:uiPriority w:val="1"/>
    <w:qFormat/>
    <w:rsid w:val="005134D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134D4"/>
    <w:rPr>
      <w:rFonts w:eastAsiaTheme="minorEastAsia"/>
      <w:lang w:val="en-US"/>
    </w:rPr>
  </w:style>
  <w:style w:type="paragraph" w:styleId="TOC1">
    <w:name w:val="toc 1"/>
    <w:basedOn w:val="Normal"/>
    <w:next w:val="Normal"/>
    <w:autoRedefine/>
    <w:uiPriority w:val="39"/>
    <w:unhideWhenUsed/>
    <w:rsid w:val="004F4879"/>
    <w:pPr>
      <w:spacing w:after="100"/>
    </w:pPr>
  </w:style>
  <w:style w:type="paragraph" w:styleId="TOC2">
    <w:name w:val="toc 2"/>
    <w:basedOn w:val="Normal"/>
    <w:next w:val="Normal"/>
    <w:autoRedefine/>
    <w:uiPriority w:val="39"/>
    <w:unhideWhenUsed/>
    <w:rsid w:val="004F4879"/>
    <w:pPr>
      <w:spacing w:after="100"/>
      <w:ind w:left="220"/>
    </w:pPr>
  </w:style>
  <w:style w:type="paragraph" w:styleId="TOC3">
    <w:name w:val="toc 3"/>
    <w:basedOn w:val="Normal"/>
    <w:next w:val="Normal"/>
    <w:autoRedefine/>
    <w:uiPriority w:val="39"/>
    <w:unhideWhenUsed/>
    <w:rsid w:val="004F4879"/>
    <w:pPr>
      <w:spacing w:after="100"/>
      <w:ind w:left="440"/>
    </w:pPr>
  </w:style>
  <w:style w:type="paragraph" w:styleId="Header">
    <w:name w:val="header"/>
    <w:basedOn w:val="Normal"/>
    <w:link w:val="HeaderChar"/>
    <w:uiPriority w:val="99"/>
    <w:unhideWhenUsed/>
    <w:rsid w:val="004F4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879"/>
  </w:style>
  <w:style w:type="paragraph" w:styleId="Footer">
    <w:name w:val="footer"/>
    <w:basedOn w:val="Normal"/>
    <w:link w:val="FooterChar"/>
    <w:uiPriority w:val="99"/>
    <w:unhideWhenUsed/>
    <w:rsid w:val="004F4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879"/>
  </w:style>
  <w:style w:type="character" w:styleId="PlaceholderText">
    <w:name w:val="Placeholder Text"/>
    <w:basedOn w:val="DefaultParagraphFont"/>
    <w:uiPriority w:val="99"/>
    <w:semiHidden/>
    <w:rsid w:val="004F4879"/>
    <w:rPr>
      <w:color w:val="808080"/>
    </w:rPr>
  </w:style>
  <w:style w:type="paragraph" w:customStyle="1" w:styleId="Default">
    <w:name w:val="Default"/>
    <w:rsid w:val="00352F2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293199">
      <w:bodyDiv w:val="1"/>
      <w:marLeft w:val="0"/>
      <w:marRight w:val="0"/>
      <w:marTop w:val="0"/>
      <w:marBottom w:val="0"/>
      <w:divBdr>
        <w:top w:val="none" w:sz="0" w:space="0" w:color="auto"/>
        <w:left w:val="none" w:sz="0" w:space="0" w:color="auto"/>
        <w:bottom w:val="none" w:sz="0" w:space="0" w:color="auto"/>
        <w:right w:val="none" w:sz="0" w:space="0" w:color="auto"/>
      </w:divBdr>
    </w:div>
    <w:div w:id="426534785">
      <w:bodyDiv w:val="1"/>
      <w:marLeft w:val="0"/>
      <w:marRight w:val="0"/>
      <w:marTop w:val="0"/>
      <w:marBottom w:val="0"/>
      <w:divBdr>
        <w:top w:val="none" w:sz="0" w:space="0" w:color="auto"/>
        <w:left w:val="none" w:sz="0" w:space="0" w:color="auto"/>
        <w:bottom w:val="none" w:sz="0" w:space="0" w:color="auto"/>
        <w:right w:val="none" w:sz="0" w:space="0" w:color="auto"/>
      </w:divBdr>
      <w:divsChild>
        <w:div w:id="932468696">
          <w:marLeft w:val="0"/>
          <w:marRight w:val="0"/>
          <w:marTop w:val="0"/>
          <w:marBottom w:val="0"/>
          <w:divBdr>
            <w:top w:val="none" w:sz="0" w:space="0" w:color="auto"/>
            <w:left w:val="none" w:sz="0" w:space="0" w:color="auto"/>
            <w:bottom w:val="none" w:sz="0" w:space="0" w:color="auto"/>
            <w:right w:val="none" w:sz="0" w:space="0" w:color="auto"/>
          </w:divBdr>
          <w:divsChild>
            <w:div w:id="259265315">
              <w:marLeft w:val="0"/>
              <w:marRight w:val="0"/>
              <w:marTop w:val="0"/>
              <w:marBottom w:val="0"/>
              <w:divBdr>
                <w:top w:val="none" w:sz="0" w:space="0" w:color="auto"/>
                <w:left w:val="none" w:sz="0" w:space="0" w:color="auto"/>
                <w:bottom w:val="none" w:sz="0" w:space="0" w:color="auto"/>
                <w:right w:val="none" w:sz="0" w:space="0" w:color="auto"/>
              </w:divBdr>
              <w:divsChild>
                <w:div w:id="14421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92409">
      <w:bodyDiv w:val="1"/>
      <w:marLeft w:val="0"/>
      <w:marRight w:val="0"/>
      <w:marTop w:val="0"/>
      <w:marBottom w:val="0"/>
      <w:divBdr>
        <w:top w:val="none" w:sz="0" w:space="0" w:color="auto"/>
        <w:left w:val="none" w:sz="0" w:space="0" w:color="auto"/>
        <w:bottom w:val="none" w:sz="0" w:space="0" w:color="auto"/>
        <w:right w:val="none" w:sz="0" w:space="0" w:color="auto"/>
      </w:divBdr>
    </w:div>
    <w:div w:id="694965561">
      <w:bodyDiv w:val="1"/>
      <w:marLeft w:val="0"/>
      <w:marRight w:val="0"/>
      <w:marTop w:val="0"/>
      <w:marBottom w:val="0"/>
      <w:divBdr>
        <w:top w:val="none" w:sz="0" w:space="0" w:color="auto"/>
        <w:left w:val="none" w:sz="0" w:space="0" w:color="auto"/>
        <w:bottom w:val="none" w:sz="0" w:space="0" w:color="auto"/>
        <w:right w:val="none" w:sz="0" w:space="0" w:color="auto"/>
      </w:divBdr>
    </w:div>
    <w:div w:id="979963207">
      <w:bodyDiv w:val="1"/>
      <w:marLeft w:val="0"/>
      <w:marRight w:val="0"/>
      <w:marTop w:val="0"/>
      <w:marBottom w:val="0"/>
      <w:divBdr>
        <w:top w:val="none" w:sz="0" w:space="0" w:color="auto"/>
        <w:left w:val="none" w:sz="0" w:space="0" w:color="auto"/>
        <w:bottom w:val="none" w:sz="0" w:space="0" w:color="auto"/>
        <w:right w:val="none" w:sz="0" w:space="0" w:color="auto"/>
      </w:divBdr>
      <w:divsChild>
        <w:div w:id="1268582569">
          <w:marLeft w:val="0"/>
          <w:marRight w:val="0"/>
          <w:marTop w:val="0"/>
          <w:marBottom w:val="0"/>
          <w:divBdr>
            <w:top w:val="none" w:sz="0" w:space="0" w:color="auto"/>
            <w:left w:val="none" w:sz="0" w:space="0" w:color="auto"/>
            <w:bottom w:val="none" w:sz="0" w:space="0" w:color="auto"/>
            <w:right w:val="none" w:sz="0" w:space="0" w:color="auto"/>
          </w:divBdr>
        </w:div>
      </w:divsChild>
    </w:div>
    <w:div w:id="1012682642">
      <w:bodyDiv w:val="1"/>
      <w:marLeft w:val="0"/>
      <w:marRight w:val="0"/>
      <w:marTop w:val="0"/>
      <w:marBottom w:val="0"/>
      <w:divBdr>
        <w:top w:val="none" w:sz="0" w:space="0" w:color="auto"/>
        <w:left w:val="none" w:sz="0" w:space="0" w:color="auto"/>
        <w:bottom w:val="none" w:sz="0" w:space="0" w:color="auto"/>
        <w:right w:val="none" w:sz="0" w:space="0" w:color="auto"/>
      </w:divBdr>
      <w:divsChild>
        <w:div w:id="422149462">
          <w:marLeft w:val="432"/>
          <w:marRight w:val="0"/>
          <w:marTop w:val="0"/>
          <w:marBottom w:val="120"/>
          <w:divBdr>
            <w:top w:val="none" w:sz="0" w:space="0" w:color="auto"/>
            <w:left w:val="none" w:sz="0" w:space="0" w:color="auto"/>
            <w:bottom w:val="none" w:sz="0" w:space="0" w:color="auto"/>
            <w:right w:val="none" w:sz="0" w:space="0" w:color="auto"/>
          </w:divBdr>
        </w:div>
        <w:div w:id="683433809">
          <w:marLeft w:val="850"/>
          <w:marRight w:val="0"/>
          <w:marTop w:val="0"/>
          <w:marBottom w:val="120"/>
          <w:divBdr>
            <w:top w:val="none" w:sz="0" w:space="0" w:color="auto"/>
            <w:left w:val="none" w:sz="0" w:space="0" w:color="auto"/>
            <w:bottom w:val="none" w:sz="0" w:space="0" w:color="auto"/>
            <w:right w:val="none" w:sz="0" w:space="0" w:color="auto"/>
          </w:divBdr>
        </w:div>
        <w:div w:id="806704791">
          <w:marLeft w:val="850"/>
          <w:marRight w:val="0"/>
          <w:marTop w:val="0"/>
          <w:marBottom w:val="120"/>
          <w:divBdr>
            <w:top w:val="none" w:sz="0" w:space="0" w:color="auto"/>
            <w:left w:val="none" w:sz="0" w:space="0" w:color="auto"/>
            <w:bottom w:val="none" w:sz="0" w:space="0" w:color="auto"/>
            <w:right w:val="none" w:sz="0" w:space="0" w:color="auto"/>
          </w:divBdr>
        </w:div>
        <w:div w:id="1007294900">
          <w:marLeft w:val="432"/>
          <w:marRight w:val="0"/>
          <w:marTop w:val="0"/>
          <w:marBottom w:val="120"/>
          <w:divBdr>
            <w:top w:val="none" w:sz="0" w:space="0" w:color="auto"/>
            <w:left w:val="none" w:sz="0" w:space="0" w:color="auto"/>
            <w:bottom w:val="none" w:sz="0" w:space="0" w:color="auto"/>
            <w:right w:val="none" w:sz="0" w:space="0" w:color="auto"/>
          </w:divBdr>
        </w:div>
        <w:div w:id="1281452411">
          <w:marLeft w:val="432"/>
          <w:marRight w:val="0"/>
          <w:marTop w:val="0"/>
          <w:marBottom w:val="120"/>
          <w:divBdr>
            <w:top w:val="none" w:sz="0" w:space="0" w:color="auto"/>
            <w:left w:val="none" w:sz="0" w:space="0" w:color="auto"/>
            <w:bottom w:val="none" w:sz="0" w:space="0" w:color="auto"/>
            <w:right w:val="none" w:sz="0" w:space="0" w:color="auto"/>
          </w:divBdr>
        </w:div>
        <w:div w:id="1481732929">
          <w:marLeft w:val="850"/>
          <w:marRight w:val="0"/>
          <w:marTop w:val="0"/>
          <w:marBottom w:val="120"/>
          <w:divBdr>
            <w:top w:val="none" w:sz="0" w:space="0" w:color="auto"/>
            <w:left w:val="none" w:sz="0" w:space="0" w:color="auto"/>
            <w:bottom w:val="none" w:sz="0" w:space="0" w:color="auto"/>
            <w:right w:val="none" w:sz="0" w:space="0" w:color="auto"/>
          </w:divBdr>
        </w:div>
        <w:div w:id="1524706995">
          <w:marLeft w:val="850"/>
          <w:marRight w:val="0"/>
          <w:marTop w:val="0"/>
          <w:marBottom w:val="120"/>
          <w:divBdr>
            <w:top w:val="none" w:sz="0" w:space="0" w:color="auto"/>
            <w:left w:val="none" w:sz="0" w:space="0" w:color="auto"/>
            <w:bottom w:val="none" w:sz="0" w:space="0" w:color="auto"/>
            <w:right w:val="none" w:sz="0" w:space="0" w:color="auto"/>
          </w:divBdr>
        </w:div>
        <w:div w:id="1540240590">
          <w:marLeft w:val="850"/>
          <w:marRight w:val="0"/>
          <w:marTop w:val="0"/>
          <w:marBottom w:val="120"/>
          <w:divBdr>
            <w:top w:val="none" w:sz="0" w:space="0" w:color="auto"/>
            <w:left w:val="none" w:sz="0" w:space="0" w:color="auto"/>
            <w:bottom w:val="none" w:sz="0" w:space="0" w:color="auto"/>
            <w:right w:val="none" w:sz="0" w:space="0" w:color="auto"/>
          </w:divBdr>
        </w:div>
      </w:divsChild>
    </w:div>
    <w:div w:id="1186754161">
      <w:bodyDiv w:val="1"/>
      <w:marLeft w:val="0"/>
      <w:marRight w:val="0"/>
      <w:marTop w:val="0"/>
      <w:marBottom w:val="0"/>
      <w:divBdr>
        <w:top w:val="none" w:sz="0" w:space="0" w:color="auto"/>
        <w:left w:val="none" w:sz="0" w:space="0" w:color="auto"/>
        <w:bottom w:val="none" w:sz="0" w:space="0" w:color="auto"/>
        <w:right w:val="none" w:sz="0" w:space="0" w:color="auto"/>
      </w:divBdr>
    </w:div>
    <w:div w:id="1336610015">
      <w:bodyDiv w:val="1"/>
      <w:marLeft w:val="0"/>
      <w:marRight w:val="0"/>
      <w:marTop w:val="0"/>
      <w:marBottom w:val="0"/>
      <w:divBdr>
        <w:top w:val="none" w:sz="0" w:space="0" w:color="auto"/>
        <w:left w:val="none" w:sz="0" w:space="0" w:color="auto"/>
        <w:bottom w:val="none" w:sz="0" w:space="0" w:color="auto"/>
        <w:right w:val="none" w:sz="0" w:space="0" w:color="auto"/>
      </w:divBdr>
    </w:div>
    <w:div w:id="1428846780">
      <w:bodyDiv w:val="1"/>
      <w:marLeft w:val="0"/>
      <w:marRight w:val="0"/>
      <w:marTop w:val="0"/>
      <w:marBottom w:val="0"/>
      <w:divBdr>
        <w:top w:val="none" w:sz="0" w:space="0" w:color="auto"/>
        <w:left w:val="none" w:sz="0" w:space="0" w:color="auto"/>
        <w:bottom w:val="none" w:sz="0" w:space="0" w:color="auto"/>
        <w:right w:val="none" w:sz="0" w:space="0" w:color="auto"/>
      </w:divBdr>
      <w:divsChild>
        <w:div w:id="1773011186">
          <w:marLeft w:val="0"/>
          <w:marRight w:val="0"/>
          <w:marTop w:val="0"/>
          <w:marBottom w:val="0"/>
          <w:divBdr>
            <w:top w:val="none" w:sz="0" w:space="0" w:color="auto"/>
            <w:left w:val="none" w:sz="0" w:space="0" w:color="auto"/>
            <w:bottom w:val="none" w:sz="0" w:space="0" w:color="auto"/>
            <w:right w:val="none" w:sz="0" w:space="0" w:color="auto"/>
          </w:divBdr>
          <w:divsChild>
            <w:div w:id="148445448">
              <w:marLeft w:val="0"/>
              <w:marRight w:val="0"/>
              <w:marTop w:val="0"/>
              <w:marBottom w:val="0"/>
              <w:divBdr>
                <w:top w:val="none" w:sz="0" w:space="0" w:color="auto"/>
                <w:left w:val="none" w:sz="0" w:space="0" w:color="auto"/>
                <w:bottom w:val="none" w:sz="0" w:space="0" w:color="auto"/>
                <w:right w:val="none" w:sz="0" w:space="0" w:color="auto"/>
              </w:divBdr>
              <w:divsChild>
                <w:div w:id="1305886117">
                  <w:marLeft w:val="0"/>
                  <w:marRight w:val="0"/>
                  <w:marTop w:val="0"/>
                  <w:marBottom w:val="0"/>
                  <w:divBdr>
                    <w:top w:val="none" w:sz="0" w:space="0" w:color="auto"/>
                    <w:left w:val="none" w:sz="0" w:space="0" w:color="auto"/>
                    <w:bottom w:val="none" w:sz="0" w:space="0" w:color="auto"/>
                    <w:right w:val="none" w:sz="0" w:space="0" w:color="auto"/>
                  </w:divBdr>
                  <w:divsChild>
                    <w:div w:id="1270431473">
                      <w:marLeft w:val="0"/>
                      <w:marRight w:val="0"/>
                      <w:marTop w:val="0"/>
                      <w:marBottom w:val="0"/>
                      <w:divBdr>
                        <w:top w:val="none" w:sz="0" w:space="0" w:color="auto"/>
                        <w:left w:val="none" w:sz="0" w:space="0" w:color="auto"/>
                        <w:bottom w:val="none" w:sz="0" w:space="0" w:color="auto"/>
                        <w:right w:val="none" w:sz="0" w:space="0" w:color="auto"/>
                      </w:divBdr>
                      <w:divsChild>
                        <w:div w:id="1345593225">
                          <w:marLeft w:val="0"/>
                          <w:marRight w:val="0"/>
                          <w:marTop w:val="0"/>
                          <w:marBottom w:val="0"/>
                          <w:divBdr>
                            <w:top w:val="none" w:sz="0" w:space="0" w:color="auto"/>
                            <w:left w:val="none" w:sz="0" w:space="0" w:color="auto"/>
                            <w:bottom w:val="single" w:sz="18" w:space="0" w:color="004985"/>
                            <w:right w:val="none" w:sz="0" w:space="0" w:color="auto"/>
                          </w:divBdr>
                          <w:divsChild>
                            <w:div w:id="628823213">
                              <w:marLeft w:val="-1"/>
                              <w:marRight w:val="-1"/>
                              <w:marTop w:val="0"/>
                              <w:marBottom w:val="0"/>
                              <w:divBdr>
                                <w:top w:val="none" w:sz="0" w:space="0" w:color="auto"/>
                                <w:left w:val="none" w:sz="0" w:space="0" w:color="auto"/>
                                <w:bottom w:val="none" w:sz="0" w:space="0" w:color="auto"/>
                                <w:right w:val="none" w:sz="0" w:space="0" w:color="auto"/>
                              </w:divBdr>
                              <w:divsChild>
                                <w:div w:id="1197892055">
                                  <w:marLeft w:val="0"/>
                                  <w:marRight w:val="0"/>
                                  <w:marTop w:val="0"/>
                                  <w:marBottom w:val="0"/>
                                  <w:divBdr>
                                    <w:top w:val="none" w:sz="0" w:space="0" w:color="auto"/>
                                    <w:left w:val="none" w:sz="0" w:space="0" w:color="auto"/>
                                    <w:bottom w:val="none" w:sz="0" w:space="0" w:color="auto"/>
                                    <w:right w:val="none" w:sz="0" w:space="0" w:color="auto"/>
                                  </w:divBdr>
                                  <w:divsChild>
                                    <w:div w:id="4895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272042">
      <w:bodyDiv w:val="1"/>
      <w:marLeft w:val="0"/>
      <w:marRight w:val="0"/>
      <w:marTop w:val="0"/>
      <w:marBottom w:val="0"/>
      <w:divBdr>
        <w:top w:val="none" w:sz="0" w:space="0" w:color="auto"/>
        <w:left w:val="none" w:sz="0" w:space="0" w:color="auto"/>
        <w:bottom w:val="none" w:sz="0" w:space="0" w:color="auto"/>
        <w:right w:val="none" w:sz="0" w:space="0" w:color="auto"/>
      </w:divBdr>
    </w:div>
    <w:div w:id="1567762789">
      <w:bodyDiv w:val="1"/>
      <w:marLeft w:val="0"/>
      <w:marRight w:val="0"/>
      <w:marTop w:val="0"/>
      <w:marBottom w:val="0"/>
      <w:divBdr>
        <w:top w:val="none" w:sz="0" w:space="0" w:color="auto"/>
        <w:left w:val="none" w:sz="0" w:space="0" w:color="auto"/>
        <w:bottom w:val="none" w:sz="0" w:space="0" w:color="auto"/>
        <w:right w:val="none" w:sz="0" w:space="0" w:color="auto"/>
      </w:divBdr>
    </w:div>
    <w:div w:id="1866407190">
      <w:bodyDiv w:val="1"/>
      <w:marLeft w:val="0"/>
      <w:marRight w:val="0"/>
      <w:marTop w:val="0"/>
      <w:marBottom w:val="0"/>
      <w:divBdr>
        <w:top w:val="none" w:sz="0" w:space="0" w:color="auto"/>
        <w:left w:val="none" w:sz="0" w:space="0" w:color="auto"/>
        <w:bottom w:val="none" w:sz="0" w:space="0" w:color="auto"/>
        <w:right w:val="none" w:sz="0" w:space="0" w:color="auto"/>
      </w:divBdr>
      <w:divsChild>
        <w:div w:id="44569647">
          <w:marLeft w:val="432"/>
          <w:marRight w:val="0"/>
          <w:marTop w:val="0"/>
          <w:marBottom w:val="120"/>
          <w:divBdr>
            <w:top w:val="none" w:sz="0" w:space="0" w:color="auto"/>
            <w:left w:val="none" w:sz="0" w:space="0" w:color="auto"/>
            <w:bottom w:val="none" w:sz="0" w:space="0" w:color="auto"/>
            <w:right w:val="none" w:sz="0" w:space="0" w:color="auto"/>
          </w:divBdr>
        </w:div>
        <w:div w:id="486945844">
          <w:marLeft w:val="432"/>
          <w:marRight w:val="0"/>
          <w:marTop w:val="0"/>
          <w:marBottom w:val="120"/>
          <w:divBdr>
            <w:top w:val="none" w:sz="0" w:space="0" w:color="auto"/>
            <w:left w:val="none" w:sz="0" w:space="0" w:color="auto"/>
            <w:bottom w:val="none" w:sz="0" w:space="0" w:color="auto"/>
            <w:right w:val="none" w:sz="0" w:space="0" w:color="auto"/>
          </w:divBdr>
        </w:div>
        <w:div w:id="522090962">
          <w:marLeft w:val="432"/>
          <w:marRight w:val="0"/>
          <w:marTop w:val="0"/>
          <w:marBottom w:val="120"/>
          <w:divBdr>
            <w:top w:val="none" w:sz="0" w:space="0" w:color="auto"/>
            <w:left w:val="none" w:sz="0" w:space="0" w:color="auto"/>
            <w:bottom w:val="none" w:sz="0" w:space="0" w:color="auto"/>
            <w:right w:val="none" w:sz="0" w:space="0" w:color="auto"/>
          </w:divBdr>
        </w:div>
        <w:div w:id="808397713">
          <w:marLeft w:val="432"/>
          <w:marRight w:val="0"/>
          <w:marTop w:val="0"/>
          <w:marBottom w:val="120"/>
          <w:divBdr>
            <w:top w:val="none" w:sz="0" w:space="0" w:color="auto"/>
            <w:left w:val="none" w:sz="0" w:space="0" w:color="auto"/>
            <w:bottom w:val="none" w:sz="0" w:space="0" w:color="auto"/>
            <w:right w:val="none" w:sz="0" w:space="0" w:color="auto"/>
          </w:divBdr>
        </w:div>
        <w:div w:id="870726145">
          <w:marLeft w:val="432"/>
          <w:marRight w:val="0"/>
          <w:marTop w:val="0"/>
          <w:marBottom w:val="120"/>
          <w:divBdr>
            <w:top w:val="none" w:sz="0" w:space="0" w:color="auto"/>
            <w:left w:val="none" w:sz="0" w:space="0" w:color="auto"/>
            <w:bottom w:val="none" w:sz="0" w:space="0" w:color="auto"/>
            <w:right w:val="none" w:sz="0" w:space="0" w:color="auto"/>
          </w:divBdr>
        </w:div>
        <w:div w:id="954095105">
          <w:marLeft w:val="432"/>
          <w:marRight w:val="0"/>
          <w:marTop w:val="0"/>
          <w:marBottom w:val="120"/>
          <w:divBdr>
            <w:top w:val="none" w:sz="0" w:space="0" w:color="auto"/>
            <w:left w:val="none" w:sz="0" w:space="0" w:color="auto"/>
            <w:bottom w:val="none" w:sz="0" w:space="0" w:color="auto"/>
            <w:right w:val="none" w:sz="0" w:space="0" w:color="auto"/>
          </w:divBdr>
        </w:div>
        <w:div w:id="1126195302">
          <w:marLeft w:val="432"/>
          <w:marRight w:val="0"/>
          <w:marTop w:val="0"/>
          <w:marBottom w:val="120"/>
          <w:divBdr>
            <w:top w:val="none" w:sz="0" w:space="0" w:color="auto"/>
            <w:left w:val="none" w:sz="0" w:space="0" w:color="auto"/>
            <w:bottom w:val="none" w:sz="0" w:space="0" w:color="auto"/>
            <w:right w:val="none" w:sz="0" w:space="0" w:color="auto"/>
          </w:divBdr>
        </w:div>
      </w:divsChild>
    </w:div>
    <w:div w:id="202258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E449FE0E0414479D21C55743D48AF4" ma:contentTypeVersion="13" ma:contentTypeDescription="Create a new document." ma:contentTypeScope="" ma:versionID="eb899dbbfcbcfee23b8c80f8ebe53819">
  <xsd:schema xmlns:xsd="http://www.w3.org/2001/XMLSchema" xmlns:xs="http://www.w3.org/2001/XMLSchema" xmlns:p="http://schemas.microsoft.com/office/2006/metadata/properties" xmlns:ns3="35ff68c0-b27a-4a58-8bbd-b223a4b9c402" xmlns:ns4="dc63da68-799a-4e90-b383-0e77ac5bba71" targetNamespace="http://schemas.microsoft.com/office/2006/metadata/properties" ma:root="true" ma:fieldsID="9b58203a14fc45a3bbd56ad779cc1a0b" ns3:_="" ns4:_="">
    <xsd:import namespace="35ff68c0-b27a-4a58-8bbd-b223a4b9c402"/>
    <xsd:import namespace="dc63da68-799a-4e90-b383-0e77ac5bba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f68c0-b27a-4a58-8bbd-b223a4b9c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3da68-799a-4e90-b383-0e77ac5bb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CC9D32-0FF1-4680-8970-4147C6230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f68c0-b27a-4a58-8bbd-b223a4b9c402"/>
    <ds:schemaRef ds:uri="dc63da68-799a-4e90-b383-0e77ac5bb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9ABF6-8F01-4270-819D-C75E842AFE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4B637F-C793-4DE0-AECA-0EB579C382FA}">
  <ds:schemaRefs>
    <ds:schemaRef ds:uri="http://schemas.microsoft.com/sharepoint/v3/contenttype/forms"/>
  </ds:schemaRefs>
</ds:datastoreItem>
</file>

<file path=customXml/itemProps5.xml><?xml version="1.0" encoding="utf-8"?>
<ds:datastoreItem xmlns:ds="http://schemas.openxmlformats.org/officeDocument/2006/customXml" ds:itemID="{FECA4DD9-B238-9B48-B0A6-F013F136C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Industry position on “Water for Chromatography” and it’s inclusion in the PhEur Liquid chromatography mongraph</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EFPIA responses to EDQM proposed texts published in Pharmeuropa 32.2 for plastics</dc:title>
  <dc:subject/>
  <dc:creator>James Mitchell, GSK</dc:creator>
  <cp:keywords/>
  <dc:description/>
  <cp:lastModifiedBy>Microsoft Office User</cp:lastModifiedBy>
  <cp:revision>2</cp:revision>
  <dcterms:created xsi:type="dcterms:W3CDTF">2020-06-30T07:10:00Z</dcterms:created>
  <dcterms:modified xsi:type="dcterms:W3CDTF">2020-06-30T07:10:00Z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0x0101003DE449FE0E0414479D21C55743D48AF4</vt:lpwstr>
  </property>
  <property fmtid="{D5CDD505-2E9C-101B-9397-08002B2CF9AE}" pid="3" name="AuthorIds_UIVersion_5632">
    <vt:lpwstr>174</vt:lpwstr>
  </property>
  <property fmtid="{D5CDD505-2E9C-101B-9397-08002B2CF9AE}" pid="4" name="AuthorIds_UIVersion_6144">
    <vt:lpwstr>174</vt:lpwstr>
  </property>
</Properties>
</file>