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05BD0" w14:textId="1FFA80A4" w:rsidR="004E43A6" w:rsidRPr="0077495E" w:rsidRDefault="0077495E" w:rsidP="00C8786C">
      <w:pPr>
        <w:jc w:val="center"/>
        <w:rPr>
          <w:b/>
          <w:color w:val="1F497D" w:themeColor="text2"/>
        </w:rPr>
      </w:pPr>
      <w:r w:rsidRPr="0077495E">
        <w:rPr>
          <w:b/>
          <w:color w:val="1F497D" w:themeColor="text2"/>
        </w:rPr>
        <w:t xml:space="preserve">EFPIA </w:t>
      </w:r>
      <w:r w:rsidR="004E43A6" w:rsidRPr="0077495E">
        <w:rPr>
          <w:b/>
          <w:color w:val="1F497D" w:themeColor="text2"/>
        </w:rPr>
        <w:t xml:space="preserve">Position </w:t>
      </w:r>
      <w:r w:rsidRPr="0077495E">
        <w:rPr>
          <w:b/>
          <w:color w:val="1F497D" w:themeColor="text2"/>
        </w:rPr>
        <w:t xml:space="preserve">Paper </w:t>
      </w:r>
      <w:r w:rsidR="004E43A6" w:rsidRPr="0077495E">
        <w:rPr>
          <w:b/>
          <w:color w:val="1F497D" w:themeColor="text2"/>
        </w:rPr>
        <w:t>on EMA Fees</w:t>
      </w:r>
    </w:p>
    <w:p w14:paraId="0C40DFEC" w14:textId="77777777" w:rsidR="004E43A6" w:rsidRDefault="00B37704" w:rsidP="004E43A6">
      <w:pPr>
        <w:autoSpaceDE w:val="0"/>
        <w:autoSpaceDN w:val="0"/>
        <w:adjustRightInd w:val="0"/>
        <w:spacing w:after="120"/>
        <w:jc w:val="both"/>
        <w:rPr>
          <w:rFonts w:cstheme="minorHAnsi"/>
        </w:rPr>
      </w:pPr>
      <w:r>
        <w:rPr>
          <w:rFonts w:cstheme="minorHAnsi"/>
          <w:noProof/>
          <w:lang w:val="en-US"/>
        </w:rPr>
        <mc:AlternateContent>
          <mc:Choice Requires="wps">
            <w:drawing>
              <wp:anchor distT="0" distB="0" distL="114300" distR="114300" simplePos="0" relativeHeight="251657216" behindDoc="0" locked="0" layoutInCell="1" allowOverlap="1" wp14:anchorId="6AF99FD9" wp14:editId="1034A7F1">
                <wp:simplePos x="0" y="0"/>
                <wp:positionH relativeFrom="column">
                  <wp:posOffset>-95098</wp:posOffset>
                </wp:positionH>
                <wp:positionV relativeFrom="paragraph">
                  <wp:posOffset>85217</wp:posOffset>
                </wp:positionV>
                <wp:extent cx="5786755" cy="7081114"/>
                <wp:effectExtent l="0" t="0" r="23495" b="24765"/>
                <wp:wrapNone/>
                <wp:docPr id="1" name="Rounded Rectangle 1"/>
                <wp:cNvGraphicFramePr/>
                <a:graphic xmlns:a="http://schemas.openxmlformats.org/drawingml/2006/main">
                  <a:graphicData uri="http://schemas.microsoft.com/office/word/2010/wordprocessingShape">
                    <wps:wsp>
                      <wps:cNvSpPr/>
                      <wps:spPr>
                        <a:xfrm>
                          <a:off x="0" y="0"/>
                          <a:ext cx="5786755" cy="708111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9B1A1A7" w14:textId="77777777" w:rsidR="004E43A6" w:rsidRDefault="004E43A6" w:rsidP="004E43A6">
                            <w:pPr>
                              <w:autoSpaceDE w:val="0"/>
                              <w:autoSpaceDN w:val="0"/>
                              <w:adjustRightInd w:val="0"/>
                              <w:spacing w:after="120"/>
                              <w:jc w:val="both"/>
                              <w:rPr>
                                <w:rFonts w:cs="Times New Roman"/>
                              </w:rPr>
                            </w:pPr>
                            <w:r>
                              <w:rPr>
                                <w:rFonts w:cstheme="minorHAnsi"/>
                              </w:rPr>
                              <w:t>Adequate and appropriate f</w:t>
                            </w:r>
                            <w:r w:rsidRPr="004E43A6">
                              <w:rPr>
                                <w:rFonts w:cstheme="minorHAnsi"/>
                              </w:rPr>
                              <w:t>unding of E</w:t>
                            </w:r>
                            <w:r w:rsidR="00E2165D">
                              <w:rPr>
                                <w:rFonts w:cstheme="minorHAnsi"/>
                              </w:rPr>
                              <w:t>uropean Medicines Agency (E</w:t>
                            </w:r>
                            <w:r w:rsidRPr="004E43A6">
                              <w:rPr>
                                <w:rFonts w:cstheme="minorHAnsi"/>
                              </w:rPr>
                              <w:t>MA</w:t>
                            </w:r>
                            <w:r w:rsidR="00E2165D">
                              <w:rPr>
                                <w:rFonts w:cstheme="minorHAnsi"/>
                              </w:rPr>
                              <w:t>)</w:t>
                            </w:r>
                            <w:r w:rsidRPr="004E43A6">
                              <w:rPr>
                                <w:rFonts w:cstheme="minorHAnsi"/>
                              </w:rPr>
                              <w:t xml:space="preserve"> and </w:t>
                            </w:r>
                            <w:r w:rsidR="00E2165D">
                              <w:rPr>
                                <w:rFonts w:cstheme="minorHAnsi"/>
                              </w:rPr>
                              <w:t>National Competent Authorities (</w:t>
                            </w:r>
                            <w:r w:rsidRPr="004E43A6">
                              <w:rPr>
                                <w:rFonts w:cstheme="minorHAnsi"/>
                              </w:rPr>
                              <w:t>NCAs</w:t>
                            </w:r>
                            <w:r w:rsidR="00E2165D">
                              <w:rPr>
                                <w:rFonts w:cstheme="minorHAnsi"/>
                              </w:rPr>
                              <w:t>)</w:t>
                            </w:r>
                            <w:r w:rsidRPr="004E43A6">
                              <w:rPr>
                                <w:rFonts w:cstheme="minorHAnsi"/>
                              </w:rPr>
                              <w:t xml:space="preserve"> is essential to support the effective operation of the </w:t>
                            </w:r>
                            <w:r>
                              <w:rPr>
                                <w:rFonts w:cstheme="minorHAnsi"/>
                              </w:rPr>
                              <w:t xml:space="preserve">European Medicines </w:t>
                            </w:r>
                            <w:r w:rsidR="0020021C">
                              <w:rPr>
                                <w:rFonts w:cstheme="minorHAnsi"/>
                              </w:rPr>
                              <w:t xml:space="preserve">Regulatory </w:t>
                            </w:r>
                            <w:r>
                              <w:rPr>
                                <w:rFonts w:cstheme="minorHAnsi"/>
                              </w:rPr>
                              <w:t>N</w:t>
                            </w:r>
                            <w:r w:rsidRPr="004E43A6">
                              <w:rPr>
                                <w:rFonts w:cstheme="minorHAnsi"/>
                              </w:rPr>
                              <w:t xml:space="preserve">etwork and to ensure public health. As such, EFPIA welcomes the ongoing </w:t>
                            </w:r>
                            <w:r w:rsidRPr="004E43A6">
                              <w:rPr>
                                <w:rFonts w:cs="Times New Roman"/>
                              </w:rPr>
                              <w:t>evaluation of the current EMA fees system</w:t>
                            </w:r>
                            <w:r>
                              <w:rPr>
                                <w:rFonts w:cs="Times New Roman"/>
                              </w:rPr>
                              <w:t xml:space="preserve">. </w:t>
                            </w:r>
                          </w:p>
                          <w:p w14:paraId="1E935E7C" w14:textId="77777777" w:rsidR="004E43A6" w:rsidRDefault="004E43A6" w:rsidP="004E43A6">
                            <w:pPr>
                              <w:autoSpaceDE w:val="0"/>
                              <w:autoSpaceDN w:val="0"/>
                              <w:adjustRightInd w:val="0"/>
                              <w:spacing w:after="120"/>
                              <w:jc w:val="both"/>
                              <w:rPr>
                                <w:rFonts w:cstheme="minorHAnsi"/>
                              </w:rPr>
                            </w:pPr>
                            <w:r w:rsidRPr="004E43A6">
                              <w:rPr>
                                <w:rFonts w:cstheme="minorHAnsi"/>
                              </w:rPr>
                              <w:t xml:space="preserve">EFPIA </w:t>
                            </w:r>
                            <w:r w:rsidRPr="004E43A6">
                              <w:rPr>
                                <w:rFonts w:cstheme="minorHAnsi"/>
                                <w:color w:val="404040" w:themeColor="text1" w:themeTint="BF"/>
                              </w:rPr>
                              <w:t xml:space="preserve">members </w:t>
                            </w:r>
                            <w:r w:rsidR="0020021C">
                              <w:rPr>
                                <w:rFonts w:cstheme="minorHAnsi"/>
                              </w:rPr>
                              <w:t>w</w:t>
                            </w:r>
                            <w:r w:rsidR="0020021C" w:rsidRPr="004E43A6">
                              <w:rPr>
                                <w:rFonts w:cstheme="minorHAnsi"/>
                              </w:rPr>
                              <w:t xml:space="preserve">ould </w:t>
                            </w:r>
                            <w:r w:rsidRPr="004E43A6">
                              <w:rPr>
                                <w:rFonts w:cstheme="minorHAnsi"/>
                              </w:rPr>
                              <w:t>support a revision of the current fee system provided that the following fundamental principles are met:</w:t>
                            </w:r>
                          </w:p>
                          <w:p w14:paraId="169C7438" w14:textId="77777777" w:rsidR="004E43A6" w:rsidRPr="004E43A6" w:rsidRDefault="004E43A6" w:rsidP="0077495E">
                            <w:pPr>
                              <w:pStyle w:val="ListParagraph"/>
                              <w:numPr>
                                <w:ilvl w:val="0"/>
                                <w:numId w:val="10"/>
                              </w:numPr>
                              <w:tabs>
                                <w:tab w:val="left" w:pos="3969"/>
                              </w:tabs>
                              <w:autoSpaceDE w:val="0"/>
                              <w:autoSpaceDN w:val="0"/>
                              <w:adjustRightInd w:val="0"/>
                              <w:spacing w:after="120"/>
                              <w:ind w:left="714" w:hanging="357"/>
                              <w:contextualSpacing w:val="0"/>
                              <w:jc w:val="both"/>
                              <w:rPr>
                                <w:rFonts w:cstheme="minorHAnsi"/>
                              </w:rPr>
                            </w:pPr>
                            <w:r w:rsidRPr="004E43A6">
                              <w:rPr>
                                <w:rFonts w:cstheme="minorHAnsi"/>
                                <w:b/>
                              </w:rPr>
                              <w:t>Transparency</w:t>
                            </w:r>
                            <w:r w:rsidRPr="004E43A6">
                              <w:rPr>
                                <w:rFonts w:cstheme="minorHAnsi"/>
                              </w:rPr>
                              <w:t xml:space="preserve">: Changes to the fee structure should be based on a </w:t>
                            </w:r>
                            <w:r w:rsidRPr="004E43A6">
                              <w:rPr>
                                <w:rFonts w:cstheme="minorHAnsi"/>
                                <w:color w:val="222222"/>
                              </w:rPr>
                              <w:t xml:space="preserve">comprehensive, </w:t>
                            </w:r>
                            <w:r w:rsidRPr="004E43A6">
                              <w:rPr>
                                <w:rFonts w:cstheme="minorHAnsi"/>
                              </w:rPr>
                              <w:t>transparent and independent evaluation of the underlying costs of the services provided, projections of future developments and strengths and weaknesses of the current system.</w:t>
                            </w:r>
                          </w:p>
                          <w:p w14:paraId="0B235287" w14:textId="77777777" w:rsidR="004E43A6" w:rsidRPr="004E43A6" w:rsidRDefault="004E43A6" w:rsidP="004E43A6">
                            <w:pPr>
                              <w:pStyle w:val="ListParagraph"/>
                              <w:numPr>
                                <w:ilvl w:val="0"/>
                                <w:numId w:val="8"/>
                              </w:numPr>
                              <w:autoSpaceDE w:val="0"/>
                              <w:autoSpaceDN w:val="0"/>
                              <w:adjustRightInd w:val="0"/>
                              <w:spacing w:after="120"/>
                              <w:ind w:left="714" w:hanging="357"/>
                              <w:contextualSpacing w:val="0"/>
                              <w:jc w:val="both"/>
                              <w:rPr>
                                <w:rFonts w:cstheme="minorHAnsi"/>
                              </w:rPr>
                            </w:pPr>
                            <w:r w:rsidRPr="004E43A6">
                              <w:rPr>
                                <w:rFonts w:cstheme="minorHAnsi"/>
                                <w:b/>
                              </w:rPr>
                              <w:t>Fairness &amp; proportionality</w:t>
                            </w:r>
                            <w:r w:rsidRPr="004E43A6">
                              <w:rPr>
                                <w:rFonts w:cstheme="minorHAnsi"/>
                              </w:rPr>
                              <w:t xml:space="preserve">: </w:t>
                            </w:r>
                            <w:r w:rsidRPr="004E43A6">
                              <w:rPr>
                                <w:rFonts w:cstheme="minorHAnsi"/>
                                <w:color w:val="222222"/>
                              </w:rPr>
                              <w:t xml:space="preserve"> Fees must correspond to the service actually provided and should be fair and </w:t>
                            </w:r>
                            <w:r w:rsidRPr="004E43A6">
                              <w:rPr>
                                <w:rFonts w:cstheme="minorHAnsi"/>
                              </w:rPr>
                              <w:t xml:space="preserve">proportionate for all actors involved. While it is accepted that the majority of the EMA budget will continue to be derived from fees payable by Industry, some activities conducted by the Agency are part of its general mission to ensure public health and should therefore remain partly covered by </w:t>
                            </w:r>
                            <w:r w:rsidR="0077495E">
                              <w:rPr>
                                <w:rFonts w:cstheme="minorHAnsi"/>
                              </w:rPr>
                              <w:t xml:space="preserve">the </w:t>
                            </w:r>
                            <w:r w:rsidRPr="004E43A6">
                              <w:rPr>
                                <w:rFonts w:cstheme="minorHAnsi"/>
                              </w:rPr>
                              <w:t>Community</w:t>
                            </w:r>
                            <w:r w:rsidRPr="004E43A6">
                              <w:rPr>
                                <w:rFonts w:cstheme="minorHAnsi"/>
                                <w:color w:val="222222"/>
                              </w:rPr>
                              <w:t>.</w:t>
                            </w:r>
                          </w:p>
                          <w:p w14:paraId="6521B1C6" w14:textId="77777777" w:rsidR="004E43A6" w:rsidRPr="004E43A6" w:rsidRDefault="004E43A6" w:rsidP="004E43A6">
                            <w:pPr>
                              <w:pStyle w:val="ListParagraph"/>
                              <w:numPr>
                                <w:ilvl w:val="0"/>
                                <w:numId w:val="8"/>
                              </w:numPr>
                              <w:autoSpaceDE w:val="0"/>
                              <w:autoSpaceDN w:val="0"/>
                              <w:adjustRightInd w:val="0"/>
                              <w:spacing w:after="120"/>
                              <w:ind w:left="714" w:hanging="357"/>
                              <w:contextualSpacing w:val="0"/>
                              <w:jc w:val="both"/>
                              <w:rPr>
                                <w:rFonts w:cstheme="minorHAnsi"/>
                              </w:rPr>
                            </w:pPr>
                            <w:r w:rsidRPr="004E43A6">
                              <w:rPr>
                                <w:rFonts w:cstheme="minorHAnsi"/>
                                <w:b/>
                              </w:rPr>
                              <w:t>Sustainability</w:t>
                            </w:r>
                            <w:r w:rsidRPr="004E43A6">
                              <w:rPr>
                                <w:rFonts w:cstheme="minorHAnsi"/>
                              </w:rPr>
                              <w:t>:</w:t>
                            </w:r>
                            <w:r w:rsidRPr="004E43A6">
                              <w:rPr>
                                <w:rFonts w:cstheme="minorHAnsi"/>
                                <w:color w:val="222222"/>
                              </w:rPr>
                              <w:t xml:space="preserve"> In order to support public health and pharmaceutical innovation, the fee structure should ensure adequate availability of resources to support </w:t>
                            </w:r>
                            <w:r w:rsidRPr="004E43A6">
                              <w:rPr>
                                <w:rFonts w:cstheme="minorHAnsi"/>
                              </w:rPr>
                              <w:t xml:space="preserve">high quality scientific assessment by </w:t>
                            </w:r>
                            <w:r w:rsidRPr="004E43A6">
                              <w:rPr>
                                <w:rFonts w:cstheme="minorHAnsi"/>
                                <w:color w:val="222222"/>
                              </w:rPr>
                              <w:t>highly qualified experts</w:t>
                            </w:r>
                            <w:r w:rsidRPr="004E43A6">
                              <w:rPr>
                                <w:rFonts w:cstheme="minorHAnsi"/>
                              </w:rPr>
                              <w:t xml:space="preserve"> within </w:t>
                            </w:r>
                            <w:r w:rsidRPr="004E43A6">
                              <w:rPr>
                                <w:rFonts w:cstheme="minorHAnsi"/>
                                <w:color w:val="222222"/>
                              </w:rPr>
                              <w:t>competitive timeframes.</w:t>
                            </w:r>
                          </w:p>
                          <w:p w14:paraId="58ADE3A0" w14:textId="77777777" w:rsidR="004E43A6" w:rsidRPr="004E43A6" w:rsidRDefault="004E43A6" w:rsidP="004E43A6">
                            <w:pPr>
                              <w:pStyle w:val="ListParagraph"/>
                              <w:numPr>
                                <w:ilvl w:val="0"/>
                                <w:numId w:val="8"/>
                              </w:numPr>
                              <w:autoSpaceDE w:val="0"/>
                              <w:autoSpaceDN w:val="0"/>
                              <w:adjustRightInd w:val="0"/>
                              <w:spacing w:after="120"/>
                              <w:ind w:left="714" w:hanging="357"/>
                              <w:contextualSpacing w:val="0"/>
                              <w:jc w:val="both"/>
                              <w:rPr>
                                <w:rFonts w:cstheme="minorHAnsi"/>
                              </w:rPr>
                            </w:pPr>
                            <w:r w:rsidRPr="004E43A6">
                              <w:rPr>
                                <w:rFonts w:cstheme="minorHAnsi"/>
                                <w:b/>
                                <w:color w:val="222222"/>
                              </w:rPr>
                              <w:t>Simplicity</w:t>
                            </w:r>
                            <w:r w:rsidRPr="004E43A6">
                              <w:rPr>
                                <w:rFonts w:cstheme="minorHAnsi"/>
                                <w:color w:val="222222"/>
                              </w:rPr>
                              <w:t>: The fee system should be clear and simple in order to avoid unnecessary administrative burden for payers.</w:t>
                            </w:r>
                          </w:p>
                          <w:p w14:paraId="22026424" w14:textId="77777777" w:rsidR="004E43A6" w:rsidRPr="004E43A6" w:rsidRDefault="004E43A6" w:rsidP="004E43A6">
                            <w:pPr>
                              <w:pStyle w:val="ListParagraph"/>
                              <w:numPr>
                                <w:ilvl w:val="0"/>
                                <w:numId w:val="8"/>
                              </w:numPr>
                              <w:jc w:val="both"/>
                              <w:rPr>
                                <w:rFonts w:cstheme="minorHAnsi"/>
                                <w:color w:val="222222"/>
                              </w:rPr>
                            </w:pPr>
                            <w:r w:rsidRPr="004E43A6">
                              <w:rPr>
                                <w:rFonts w:cstheme="minorHAnsi"/>
                                <w:b/>
                                <w:color w:val="222222"/>
                              </w:rPr>
                              <w:t>Flexibility</w:t>
                            </w:r>
                            <w:r w:rsidRPr="004E43A6">
                              <w:rPr>
                                <w:rFonts w:cstheme="minorHAnsi"/>
                                <w:color w:val="222222"/>
                              </w:rPr>
                              <w:t xml:space="preserve">: Reductions and waivers should be allowed for </w:t>
                            </w:r>
                            <w:r>
                              <w:rPr>
                                <w:rFonts w:cstheme="minorHAnsi"/>
                                <w:color w:val="222222"/>
                              </w:rPr>
                              <w:t xml:space="preserve">some procedures for </w:t>
                            </w:r>
                            <w:r w:rsidRPr="004E43A6">
                              <w:rPr>
                                <w:rFonts w:cstheme="minorHAnsi"/>
                                <w:color w:val="222222"/>
                              </w:rPr>
                              <w:t xml:space="preserve">certain justified categories of medicines </w:t>
                            </w:r>
                            <w:r w:rsidR="0020021C">
                              <w:rPr>
                                <w:rFonts w:cstheme="minorHAnsi"/>
                                <w:color w:val="222222"/>
                              </w:rPr>
                              <w:t>and actors</w:t>
                            </w:r>
                            <w:r w:rsidR="00B37704">
                              <w:rPr>
                                <w:rFonts w:cstheme="minorHAnsi"/>
                                <w:color w:val="222222"/>
                              </w:rPr>
                              <w:t xml:space="preserve"> </w:t>
                            </w:r>
                            <w:r w:rsidRPr="004E43A6">
                              <w:rPr>
                                <w:rFonts w:cstheme="minorHAnsi"/>
                                <w:color w:val="222222"/>
                              </w:rPr>
                              <w:t>(e.g. orphan drugs and SMEs) or in exceptional circumstances (e.g. imperative reasons of public health).</w:t>
                            </w:r>
                          </w:p>
                          <w:p w14:paraId="50C88BF3" w14:textId="77777777" w:rsidR="004E43A6" w:rsidRPr="0077495E" w:rsidRDefault="004E43A6" w:rsidP="004E43A6">
                            <w:pPr>
                              <w:autoSpaceDE w:val="0"/>
                              <w:autoSpaceDN w:val="0"/>
                              <w:adjustRightInd w:val="0"/>
                              <w:spacing w:after="120"/>
                              <w:jc w:val="both"/>
                              <w:rPr>
                                <w:rFonts w:cstheme="minorHAnsi"/>
                                <w:sz w:val="6"/>
                              </w:rPr>
                            </w:pPr>
                          </w:p>
                          <w:p w14:paraId="38ADBF12" w14:textId="3516F34A" w:rsidR="004E43A6" w:rsidRDefault="00514611" w:rsidP="004E43A6">
                            <w:pPr>
                              <w:autoSpaceDE w:val="0"/>
                              <w:autoSpaceDN w:val="0"/>
                              <w:adjustRightInd w:val="0"/>
                              <w:spacing w:after="120"/>
                              <w:jc w:val="both"/>
                              <w:rPr>
                                <w:rFonts w:cs="Times New Roman"/>
                              </w:rPr>
                            </w:pPr>
                            <w:r>
                              <w:rPr>
                                <w:rFonts w:cs="Times New Roman"/>
                              </w:rPr>
                              <w:t xml:space="preserve">In addition, </w:t>
                            </w:r>
                            <w:r w:rsidR="004E43A6">
                              <w:rPr>
                                <w:rFonts w:cs="Times New Roman"/>
                              </w:rPr>
                              <w:t xml:space="preserve">EFPIA </w:t>
                            </w:r>
                            <w:r>
                              <w:rPr>
                                <w:rFonts w:cs="Times New Roman"/>
                              </w:rPr>
                              <w:t xml:space="preserve">is mindful of the future needs of the network for a fee structure that facilitates </w:t>
                            </w:r>
                            <w:r w:rsidR="0020021C">
                              <w:rPr>
                                <w:rFonts w:cs="Times New Roman"/>
                              </w:rPr>
                              <w:t xml:space="preserve">initiatives on </w:t>
                            </w:r>
                            <w:r>
                              <w:rPr>
                                <w:rFonts w:cs="Times New Roman"/>
                              </w:rPr>
                              <w:t xml:space="preserve">reduction in administrative burden being evaluated by the </w:t>
                            </w:r>
                            <w:r w:rsidR="003A1C81">
                              <w:rPr>
                                <w:rFonts w:cs="Times New Roman"/>
                              </w:rPr>
                              <w:t>Regulatory Optimisation Group (</w:t>
                            </w:r>
                            <w:r>
                              <w:rPr>
                                <w:rFonts w:cs="Times New Roman"/>
                              </w:rPr>
                              <w:t>ROG</w:t>
                            </w:r>
                            <w:r w:rsidR="003A1C81">
                              <w:rPr>
                                <w:rFonts w:cs="Times New Roman"/>
                              </w:rPr>
                              <w:t>)</w:t>
                            </w:r>
                            <w:r>
                              <w:rPr>
                                <w:rFonts w:cs="Times New Roman"/>
                              </w:rPr>
                              <w:t xml:space="preserve">. To that end EFPIA would support changes to the Fees system that </w:t>
                            </w:r>
                            <w:r w:rsidR="00C8786C">
                              <w:rPr>
                                <w:rFonts w:cs="Times New Roman"/>
                              </w:rPr>
                              <w:t xml:space="preserve">meet the above criteria but also </w:t>
                            </w:r>
                            <w:r>
                              <w:rPr>
                                <w:rFonts w:cs="Times New Roman"/>
                              </w:rPr>
                              <w:t xml:space="preserve">enable </w:t>
                            </w:r>
                            <w:r w:rsidR="00C8786C">
                              <w:rPr>
                                <w:rFonts w:cs="Times New Roman"/>
                              </w:rPr>
                              <w:t>simplification</w:t>
                            </w:r>
                            <w:r>
                              <w:rPr>
                                <w:rFonts w:cs="Times New Roman"/>
                              </w:rPr>
                              <w:t xml:space="preserve"> initiatives </w:t>
                            </w:r>
                            <w:r w:rsidR="00C8786C">
                              <w:rPr>
                                <w:rFonts w:cs="Times New Roman"/>
                              </w:rPr>
                              <w:t>and</w:t>
                            </w:r>
                            <w:r>
                              <w:rPr>
                                <w:rFonts w:cs="Times New Roman"/>
                              </w:rPr>
                              <w:t xml:space="preserve"> remain</w:t>
                            </w:r>
                            <w:r w:rsidR="004E43A6">
                              <w:rPr>
                                <w:rFonts w:cs="Times New Roman"/>
                              </w:rPr>
                              <w:t xml:space="preserve"> cost-neutral overall </w:t>
                            </w:r>
                            <w:r w:rsidR="0020021C">
                              <w:rPr>
                                <w:rFonts w:cs="Times New Roman"/>
                              </w:rPr>
                              <w:t xml:space="preserve">to companies for the same </w:t>
                            </w:r>
                            <w:r w:rsidR="0020021C" w:rsidRPr="00887FF3">
                              <w:rPr>
                                <w:rFonts w:cs="Times New Roman"/>
                              </w:rPr>
                              <w:t xml:space="preserve">volume </w:t>
                            </w:r>
                            <w:r w:rsidR="006F15F9">
                              <w:rPr>
                                <w:rFonts w:cs="Times New Roman"/>
                              </w:rPr>
                              <w:t xml:space="preserve">of </w:t>
                            </w:r>
                            <w:r w:rsidR="00887FF3" w:rsidRPr="00887FF3">
                              <w:rPr>
                                <w:rFonts w:cs="Times New Roman"/>
                              </w:rPr>
                              <w:t>submission</w:t>
                            </w:r>
                            <w:r w:rsidR="006F15F9">
                              <w:rPr>
                                <w:rFonts w:cs="Times New Roman"/>
                              </w:rPr>
                              <w:t>s</w:t>
                            </w:r>
                            <w:r w:rsidR="0020021C" w:rsidRPr="00887FF3">
                              <w:rPr>
                                <w:rFonts w:cs="Times New Roman"/>
                              </w:rPr>
                              <w:t>,</w:t>
                            </w:r>
                            <w:r w:rsidR="0020021C">
                              <w:rPr>
                                <w:rFonts w:cs="Times New Roman"/>
                              </w:rPr>
                              <w:t xml:space="preserve"> and </w:t>
                            </w:r>
                            <w:r w:rsidR="004E43A6">
                              <w:rPr>
                                <w:rFonts w:cs="Times New Roman"/>
                              </w:rPr>
                              <w:t xml:space="preserve">provide EMA with the </w:t>
                            </w:r>
                            <w:r w:rsidR="0020021C">
                              <w:rPr>
                                <w:rFonts w:cs="Times New Roman"/>
                              </w:rPr>
                              <w:t>required</w:t>
                            </w:r>
                            <w:r w:rsidR="00FB7F9B">
                              <w:rPr>
                                <w:rFonts w:cs="Times New Roman"/>
                              </w:rPr>
                              <w:t xml:space="preserve"> </w:t>
                            </w:r>
                            <w:r w:rsidR="004E43A6">
                              <w:rPr>
                                <w:rFonts w:cs="Times New Roman"/>
                              </w:rPr>
                              <w:t>income</w:t>
                            </w:r>
                            <w:r w:rsidR="0020021C">
                              <w:rPr>
                                <w:rFonts w:cs="Times New Roman"/>
                              </w:rPr>
                              <w:t xml:space="preserve"> </w:t>
                            </w:r>
                            <w:r w:rsidR="0020021C" w:rsidRPr="00887FF3">
                              <w:rPr>
                                <w:rFonts w:cs="Times New Roman"/>
                              </w:rPr>
                              <w:t>for the</w:t>
                            </w:r>
                            <w:r w:rsidR="00B37704" w:rsidRPr="00887FF3">
                              <w:rPr>
                                <w:rFonts w:cs="Times New Roman"/>
                              </w:rPr>
                              <w:t>ir</w:t>
                            </w:r>
                            <w:r w:rsidR="0020021C" w:rsidRPr="00887FF3">
                              <w:rPr>
                                <w:rFonts w:cs="Times New Roman"/>
                              </w:rPr>
                              <w:t xml:space="preserve"> assessment</w:t>
                            </w:r>
                            <w:r w:rsidR="0020021C">
                              <w:rPr>
                                <w:rFonts w:cs="Times New Roman"/>
                              </w:rPr>
                              <w:t xml:space="preserve"> work</w:t>
                            </w:r>
                            <w:r w:rsidR="004E43A6" w:rsidRPr="004E43A6">
                              <w:rPr>
                                <w:rFonts w:cstheme="minorHAnsi"/>
                              </w:rPr>
                              <w:t xml:space="preserve">. </w:t>
                            </w:r>
                            <w:r w:rsidR="0080708C" w:rsidRPr="00C02D80">
                              <w:rPr>
                                <w:rFonts w:ascii="Calibri" w:hAnsi="Calibri" w:cs="Calibri"/>
                                <w:color w:val="000000" w:themeColor="text1"/>
                              </w:rPr>
                              <w:t>The regulatory system resource savings from EFPIA’s proposal could then be redirected to essential initiatives such as implementation of the EMA’s Regulatory Science Strategy to 2025.</w:t>
                            </w:r>
                          </w:p>
                          <w:p w14:paraId="7C87EE8D" w14:textId="77777777" w:rsidR="004E43A6" w:rsidRDefault="004E43A6" w:rsidP="004E43A6">
                            <w:pPr>
                              <w:autoSpaceDE w:val="0"/>
                              <w:autoSpaceDN w:val="0"/>
                              <w:adjustRightInd w:val="0"/>
                              <w:spacing w:after="120"/>
                              <w:jc w:val="both"/>
                              <w:rPr>
                                <w:rFonts w:cstheme="minorHAnsi"/>
                              </w:rPr>
                            </w:pPr>
                          </w:p>
                          <w:p w14:paraId="05D78F56" w14:textId="77777777" w:rsidR="004E43A6" w:rsidRDefault="004E43A6" w:rsidP="004E43A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99FD9" id="Rounded Rectangle 1" o:spid="_x0000_s1026" style="position:absolute;left:0;text-align:left;margin-left:-7.5pt;margin-top:6.7pt;width:455.65pt;height:55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" fillcolor="white [3201]" strokecolor="#4f81bd [3204]" strokeweight="2pt">
                <v:textbox>
                  <w:txbxContent>
                    <w:p w14:paraId="29B1A1A7" w14:textId="77777777" w:rsidR="004E43A6" w:rsidRDefault="004E43A6" w:rsidP="004E43A6">
                      <w:pPr>
                        <w:autoSpaceDE w:val="0"/>
                        <w:autoSpaceDN w:val="0"/>
                        <w:adjustRightInd w:val="0"/>
                        <w:spacing w:after="120"/>
                        <w:jc w:val="both"/>
                        <w:rPr>
                          <w:rFonts w:cs="Times New Roman"/>
                        </w:rPr>
                      </w:pPr>
                      <w:r>
                        <w:rPr>
                          <w:rFonts w:cstheme="minorHAnsi"/>
                        </w:rPr>
                        <w:t>Adequate and appropriate f</w:t>
                      </w:r>
                      <w:r w:rsidRPr="004E43A6">
                        <w:rPr>
                          <w:rFonts w:cstheme="minorHAnsi"/>
                        </w:rPr>
                        <w:t>unding of E</w:t>
                      </w:r>
                      <w:r w:rsidR="00E2165D">
                        <w:rPr>
                          <w:rFonts w:cstheme="minorHAnsi"/>
                        </w:rPr>
                        <w:t>uropean Medicines Agency (E</w:t>
                      </w:r>
                      <w:r w:rsidRPr="004E43A6">
                        <w:rPr>
                          <w:rFonts w:cstheme="minorHAnsi"/>
                        </w:rPr>
                        <w:t>MA</w:t>
                      </w:r>
                      <w:r w:rsidR="00E2165D">
                        <w:rPr>
                          <w:rFonts w:cstheme="minorHAnsi"/>
                        </w:rPr>
                        <w:t>)</w:t>
                      </w:r>
                      <w:r w:rsidRPr="004E43A6">
                        <w:rPr>
                          <w:rFonts w:cstheme="minorHAnsi"/>
                        </w:rPr>
                        <w:t xml:space="preserve"> and </w:t>
                      </w:r>
                      <w:r w:rsidR="00E2165D">
                        <w:rPr>
                          <w:rFonts w:cstheme="minorHAnsi"/>
                        </w:rPr>
                        <w:t>National Competent Authorities (</w:t>
                      </w:r>
                      <w:r w:rsidRPr="004E43A6">
                        <w:rPr>
                          <w:rFonts w:cstheme="minorHAnsi"/>
                        </w:rPr>
                        <w:t>NCAs</w:t>
                      </w:r>
                      <w:r w:rsidR="00E2165D">
                        <w:rPr>
                          <w:rFonts w:cstheme="minorHAnsi"/>
                        </w:rPr>
                        <w:t>)</w:t>
                      </w:r>
                      <w:r w:rsidRPr="004E43A6">
                        <w:rPr>
                          <w:rFonts w:cstheme="minorHAnsi"/>
                        </w:rPr>
                        <w:t xml:space="preserve"> is essential to support the effective operation of the </w:t>
                      </w:r>
                      <w:r>
                        <w:rPr>
                          <w:rFonts w:cstheme="minorHAnsi"/>
                        </w:rPr>
                        <w:t xml:space="preserve">European Medicines </w:t>
                      </w:r>
                      <w:r w:rsidR="0020021C">
                        <w:rPr>
                          <w:rFonts w:cstheme="minorHAnsi"/>
                        </w:rPr>
                        <w:t xml:space="preserve">Regulatory </w:t>
                      </w:r>
                      <w:r>
                        <w:rPr>
                          <w:rFonts w:cstheme="minorHAnsi"/>
                        </w:rPr>
                        <w:t>N</w:t>
                      </w:r>
                      <w:r w:rsidRPr="004E43A6">
                        <w:rPr>
                          <w:rFonts w:cstheme="minorHAnsi"/>
                        </w:rPr>
                        <w:t xml:space="preserve">etwork and to ensure public health. As such, EFPIA welcomes the ongoing </w:t>
                      </w:r>
                      <w:r w:rsidRPr="004E43A6">
                        <w:rPr>
                          <w:rFonts w:cs="Times New Roman"/>
                        </w:rPr>
                        <w:t>evaluation of the current EMA fees system</w:t>
                      </w:r>
                      <w:r>
                        <w:rPr>
                          <w:rFonts w:cs="Times New Roman"/>
                        </w:rPr>
                        <w:t xml:space="preserve">. </w:t>
                      </w:r>
                    </w:p>
                    <w:p w14:paraId="1E935E7C" w14:textId="77777777" w:rsidR="004E43A6" w:rsidRDefault="004E43A6" w:rsidP="004E43A6">
                      <w:pPr>
                        <w:autoSpaceDE w:val="0"/>
                        <w:autoSpaceDN w:val="0"/>
                        <w:adjustRightInd w:val="0"/>
                        <w:spacing w:after="120"/>
                        <w:jc w:val="both"/>
                        <w:rPr>
                          <w:rFonts w:cstheme="minorHAnsi"/>
                        </w:rPr>
                      </w:pPr>
                      <w:r w:rsidRPr="004E43A6">
                        <w:rPr>
                          <w:rFonts w:cstheme="minorHAnsi"/>
                        </w:rPr>
                        <w:t xml:space="preserve">EFPIA </w:t>
                      </w:r>
                      <w:r w:rsidRPr="004E43A6">
                        <w:rPr>
                          <w:rFonts w:cstheme="minorHAnsi"/>
                          <w:color w:val="404040" w:themeColor="text1" w:themeTint="BF"/>
                        </w:rPr>
                        <w:t xml:space="preserve">members </w:t>
                      </w:r>
                      <w:r w:rsidR="0020021C">
                        <w:rPr>
                          <w:rFonts w:cstheme="minorHAnsi"/>
                        </w:rPr>
                        <w:t>w</w:t>
                      </w:r>
                      <w:r w:rsidR="0020021C" w:rsidRPr="004E43A6">
                        <w:rPr>
                          <w:rFonts w:cstheme="minorHAnsi"/>
                        </w:rPr>
                        <w:t xml:space="preserve">ould </w:t>
                      </w:r>
                      <w:r w:rsidRPr="004E43A6">
                        <w:rPr>
                          <w:rFonts w:cstheme="minorHAnsi"/>
                        </w:rPr>
                        <w:t>support a revision of the current fee system provided that the following fundamental principles are met:</w:t>
                      </w:r>
                    </w:p>
                    <w:p w14:paraId="169C7438" w14:textId="77777777" w:rsidR="004E43A6" w:rsidRPr="004E43A6" w:rsidRDefault="004E43A6" w:rsidP="0077495E">
                      <w:pPr>
                        <w:pStyle w:val="ListParagraph"/>
                        <w:numPr>
                          <w:ilvl w:val="0"/>
                          <w:numId w:val="10"/>
                        </w:numPr>
                        <w:tabs>
                          <w:tab w:val="left" w:pos="3969"/>
                        </w:tabs>
                        <w:autoSpaceDE w:val="0"/>
                        <w:autoSpaceDN w:val="0"/>
                        <w:adjustRightInd w:val="0"/>
                        <w:spacing w:after="120"/>
                        <w:ind w:left="714" w:hanging="357"/>
                        <w:contextualSpacing w:val="0"/>
                        <w:jc w:val="both"/>
                        <w:rPr>
                          <w:rFonts w:cstheme="minorHAnsi"/>
                        </w:rPr>
                      </w:pPr>
                      <w:r w:rsidRPr="004E43A6">
                        <w:rPr>
                          <w:rFonts w:cstheme="minorHAnsi"/>
                          <w:b/>
                        </w:rPr>
                        <w:t>Transparency</w:t>
                      </w:r>
                      <w:r w:rsidRPr="004E43A6">
                        <w:rPr>
                          <w:rFonts w:cstheme="minorHAnsi"/>
                        </w:rPr>
                        <w:t xml:space="preserve">: Changes to the fee structure should be based on a </w:t>
                      </w:r>
                      <w:r w:rsidRPr="004E43A6">
                        <w:rPr>
                          <w:rFonts w:cstheme="minorHAnsi"/>
                          <w:color w:val="222222"/>
                        </w:rPr>
                        <w:t xml:space="preserve">comprehensive, </w:t>
                      </w:r>
                      <w:r w:rsidRPr="004E43A6">
                        <w:rPr>
                          <w:rFonts w:cstheme="minorHAnsi"/>
                        </w:rPr>
                        <w:t>transparent and independent evaluation of the underlying costs of the services provided, projections of future developments and strengths and weaknesses of the current system.</w:t>
                      </w:r>
                    </w:p>
                    <w:p w14:paraId="0B235287" w14:textId="77777777" w:rsidR="004E43A6" w:rsidRPr="004E43A6" w:rsidRDefault="004E43A6" w:rsidP="004E43A6">
                      <w:pPr>
                        <w:pStyle w:val="ListParagraph"/>
                        <w:numPr>
                          <w:ilvl w:val="0"/>
                          <w:numId w:val="8"/>
                        </w:numPr>
                        <w:autoSpaceDE w:val="0"/>
                        <w:autoSpaceDN w:val="0"/>
                        <w:adjustRightInd w:val="0"/>
                        <w:spacing w:after="120"/>
                        <w:ind w:left="714" w:hanging="357"/>
                        <w:contextualSpacing w:val="0"/>
                        <w:jc w:val="both"/>
                        <w:rPr>
                          <w:rFonts w:cstheme="minorHAnsi"/>
                        </w:rPr>
                      </w:pPr>
                      <w:r w:rsidRPr="004E43A6">
                        <w:rPr>
                          <w:rFonts w:cstheme="minorHAnsi"/>
                          <w:b/>
                        </w:rPr>
                        <w:t>Fairness &amp; proportionality</w:t>
                      </w:r>
                      <w:r w:rsidRPr="004E43A6">
                        <w:rPr>
                          <w:rFonts w:cstheme="minorHAnsi"/>
                        </w:rPr>
                        <w:t xml:space="preserve">: </w:t>
                      </w:r>
                      <w:r w:rsidRPr="004E43A6">
                        <w:rPr>
                          <w:rFonts w:cstheme="minorHAnsi"/>
                          <w:color w:val="222222"/>
                        </w:rPr>
                        <w:t xml:space="preserve"> Fees must correspond to the service actually provided and should be fair and </w:t>
                      </w:r>
                      <w:r w:rsidRPr="004E43A6">
                        <w:rPr>
                          <w:rFonts w:cstheme="minorHAnsi"/>
                        </w:rPr>
                        <w:t xml:space="preserve">proportionate for all actors involved. While it is accepted that the majority of the EMA budget will continue to be derived from fees payable by Industry, some activities conducted by the Agency are part of its general mission to ensure public health and should therefore remain partly covered by </w:t>
                      </w:r>
                      <w:r w:rsidR="0077495E">
                        <w:rPr>
                          <w:rFonts w:cstheme="minorHAnsi"/>
                        </w:rPr>
                        <w:t xml:space="preserve">the </w:t>
                      </w:r>
                      <w:r w:rsidRPr="004E43A6">
                        <w:rPr>
                          <w:rFonts w:cstheme="minorHAnsi"/>
                        </w:rPr>
                        <w:t>Community</w:t>
                      </w:r>
                      <w:r w:rsidRPr="004E43A6">
                        <w:rPr>
                          <w:rFonts w:cstheme="minorHAnsi"/>
                          <w:color w:val="222222"/>
                        </w:rPr>
                        <w:t>.</w:t>
                      </w:r>
                    </w:p>
                    <w:p w14:paraId="6521B1C6" w14:textId="77777777" w:rsidR="004E43A6" w:rsidRPr="004E43A6" w:rsidRDefault="004E43A6" w:rsidP="004E43A6">
                      <w:pPr>
                        <w:pStyle w:val="ListParagraph"/>
                        <w:numPr>
                          <w:ilvl w:val="0"/>
                          <w:numId w:val="8"/>
                        </w:numPr>
                        <w:autoSpaceDE w:val="0"/>
                        <w:autoSpaceDN w:val="0"/>
                        <w:adjustRightInd w:val="0"/>
                        <w:spacing w:after="120"/>
                        <w:ind w:left="714" w:hanging="357"/>
                        <w:contextualSpacing w:val="0"/>
                        <w:jc w:val="both"/>
                        <w:rPr>
                          <w:rFonts w:cstheme="minorHAnsi"/>
                        </w:rPr>
                      </w:pPr>
                      <w:r w:rsidRPr="004E43A6">
                        <w:rPr>
                          <w:rFonts w:cstheme="minorHAnsi"/>
                          <w:b/>
                        </w:rPr>
                        <w:t>Sustainability</w:t>
                      </w:r>
                      <w:r w:rsidRPr="004E43A6">
                        <w:rPr>
                          <w:rFonts w:cstheme="minorHAnsi"/>
                        </w:rPr>
                        <w:t>:</w:t>
                      </w:r>
                      <w:r w:rsidRPr="004E43A6">
                        <w:rPr>
                          <w:rFonts w:cstheme="minorHAnsi"/>
                          <w:color w:val="222222"/>
                        </w:rPr>
                        <w:t xml:space="preserve"> In order to support public health and pharmaceutical innovation, the fee structure should ensure adequate availability of resources to support </w:t>
                      </w:r>
                      <w:r w:rsidRPr="004E43A6">
                        <w:rPr>
                          <w:rFonts w:cstheme="minorHAnsi"/>
                        </w:rPr>
                        <w:t xml:space="preserve">high quality scientific assessment by </w:t>
                      </w:r>
                      <w:r w:rsidRPr="004E43A6">
                        <w:rPr>
                          <w:rFonts w:cstheme="minorHAnsi"/>
                          <w:color w:val="222222"/>
                        </w:rPr>
                        <w:t>highly qualified experts</w:t>
                      </w:r>
                      <w:r w:rsidRPr="004E43A6">
                        <w:rPr>
                          <w:rFonts w:cstheme="minorHAnsi"/>
                        </w:rPr>
                        <w:t xml:space="preserve"> within </w:t>
                      </w:r>
                      <w:r w:rsidRPr="004E43A6">
                        <w:rPr>
                          <w:rFonts w:cstheme="minorHAnsi"/>
                          <w:color w:val="222222"/>
                        </w:rPr>
                        <w:t>competitive timeframes.</w:t>
                      </w:r>
                    </w:p>
                    <w:p w14:paraId="58ADE3A0" w14:textId="77777777" w:rsidR="004E43A6" w:rsidRPr="004E43A6" w:rsidRDefault="004E43A6" w:rsidP="004E43A6">
                      <w:pPr>
                        <w:pStyle w:val="ListParagraph"/>
                        <w:numPr>
                          <w:ilvl w:val="0"/>
                          <w:numId w:val="8"/>
                        </w:numPr>
                        <w:autoSpaceDE w:val="0"/>
                        <w:autoSpaceDN w:val="0"/>
                        <w:adjustRightInd w:val="0"/>
                        <w:spacing w:after="120"/>
                        <w:ind w:left="714" w:hanging="357"/>
                        <w:contextualSpacing w:val="0"/>
                        <w:jc w:val="both"/>
                        <w:rPr>
                          <w:rFonts w:cstheme="minorHAnsi"/>
                        </w:rPr>
                      </w:pPr>
                      <w:r w:rsidRPr="004E43A6">
                        <w:rPr>
                          <w:rFonts w:cstheme="minorHAnsi"/>
                          <w:b/>
                          <w:color w:val="222222"/>
                        </w:rPr>
                        <w:t>Simplicity</w:t>
                      </w:r>
                      <w:r w:rsidRPr="004E43A6">
                        <w:rPr>
                          <w:rFonts w:cstheme="minorHAnsi"/>
                          <w:color w:val="222222"/>
                        </w:rPr>
                        <w:t>: The fee system should be clear and simple in order to avoid unnecessary administrative burden for payers.</w:t>
                      </w:r>
                    </w:p>
                    <w:p w14:paraId="22026424" w14:textId="77777777" w:rsidR="004E43A6" w:rsidRPr="004E43A6" w:rsidRDefault="004E43A6" w:rsidP="004E43A6">
                      <w:pPr>
                        <w:pStyle w:val="ListParagraph"/>
                        <w:numPr>
                          <w:ilvl w:val="0"/>
                          <w:numId w:val="8"/>
                        </w:numPr>
                        <w:jc w:val="both"/>
                        <w:rPr>
                          <w:rFonts w:cstheme="minorHAnsi"/>
                          <w:color w:val="222222"/>
                        </w:rPr>
                      </w:pPr>
                      <w:r w:rsidRPr="004E43A6">
                        <w:rPr>
                          <w:rFonts w:cstheme="minorHAnsi"/>
                          <w:b/>
                          <w:color w:val="222222"/>
                        </w:rPr>
                        <w:t>Flexibility</w:t>
                      </w:r>
                      <w:r w:rsidRPr="004E43A6">
                        <w:rPr>
                          <w:rFonts w:cstheme="minorHAnsi"/>
                          <w:color w:val="222222"/>
                        </w:rPr>
                        <w:t xml:space="preserve">: Reductions and waivers should be allowed for </w:t>
                      </w:r>
                      <w:r>
                        <w:rPr>
                          <w:rFonts w:cstheme="minorHAnsi"/>
                          <w:color w:val="222222"/>
                        </w:rPr>
                        <w:t xml:space="preserve">some procedures for </w:t>
                      </w:r>
                      <w:r w:rsidRPr="004E43A6">
                        <w:rPr>
                          <w:rFonts w:cstheme="minorHAnsi"/>
                          <w:color w:val="222222"/>
                        </w:rPr>
                        <w:t xml:space="preserve">certain justified categories of medicines </w:t>
                      </w:r>
                      <w:r w:rsidR="0020021C">
                        <w:rPr>
                          <w:rFonts w:cstheme="minorHAnsi"/>
                          <w:color w:val="222222"/>
                        </w:rPr>
                        <w:t>and actors</w:t>
                      </w:r>
                      <w:r w:rsidR="00B37704">
                        <w:rPr>
                          <w:rFonts w:cstheme="minorHAnsi"/>
                          <w:color w:val="222222"/>
                        </w:rPr>
                        <w:t xml:space="preserve"> </w:t>
                      </w:r>
                      <w:r w:rsidRPr="004E43A6">
                        <w:rPr>
                          <w:rFonts w:cstheme="minorHAnsi"/>
                          <w:color w:val="222222"/>
                        </w:rPr>
                        <w:t>(e.g. orphan drugs and SMEs) or in exceptional circumstances (e.g. imperative reasons of public health).</w:t>
                      </w:r>
                    </w:p>
                    <w:p w14:paraId="50C88BF3" w14:textId="77777777" w:rsidR="004E43A6" w:rsidRPr="0077495E" w:rsidRDefault="004E43A6" w:rsidP="004E43A6">
                      <w:pPr>
                        <w:autoSpaceDE w:val="0"/>
                        <w:autoSpaceDN w:val="0"/>
                        <w:adjustRightInd w:val="0"/>
                        <w:spacing w:after="120"/>
                        <w:jc w:val="both"/>
                        <w:rPr>
                          <w:rFonts w:cstheme="minorHAnsi"/>
                          <w:sz w:val="6"/>
                        </w:rPr>
                      </w:pPr>
                    </w:p>
                    <w:p w14:paraId="38ADBF12" w14:textId="3516F34A" w:rsidR="004E43A6" w:rsidRDefault="00514611" w:rsidP="004E43A6">
                      <w:pPr>
                        <w:autoSpaceDE w:val="0"/>
                        <w:autoSpaceDN w:val="0"/>
                        <w:adjustRightInd w:val="0"/>
                        <w:spacing w:after="120"/>
                        <w:jc w:val="both"/>
                        <w:rPr>
                          <w:rFonts w:cs="Times New Roman"/>
                        </w:rPr>
                      </w:pPr>
                      <w:r>
                        <w:rPr>
                          <w:rFonts w:cs="Times New Roman"/>
                        </w:rPr>
                        <w:t xml:space="preserve">In addition, </w:t>
                      </w:r>
                      <w:r w:rsidR="004E43A6">
                        <w:rPr>
                          <w:rFonts w:cs="Times New Roman"/>
                        </w:rPr>
                        <w:t xml:space="preserve">EFPIA </w:t>
                      </w:r>
                      <w:r>
                        <w:rPr>
                          <w:rFonts w:cs="Times New Roman"/>
                        </w:rPr>
                        <w:t xml:space="preserve">is mindful of the future needs of the network for a fee structure that facilitates </w:t>
                      </w:r>
                      <w:r w:rsidR="0020021C">
                        <w:rPr>
                          <w:rFonts w:cs="Times New Roman"/>
                        </w:rPr>
                        <w:t xml:space="preserve">initiatives on </w:t>
                      </w:r>
                      <w:r>
                        <w:rPr>
                          <w:rFonts w:cs="Times New Roman"/>
                        </w:rPr>
                        <w:t xml:space="preserve">reduction in administrative burden being evaluated by the </w:t>
                      </w:r>
                      <w:r w:rsidR="003A1C81">
                        <w:rPr>
                          <w:rFonts w:cs="Times New Roman"/>
                        </w:rPr>
                        <w:t>Regulatory Optimisation Group (</w:t>
                      </w:r>
                      <w:r>
                        <w:rPr>
                          <w:rFonts w:cs="Times New Roman"/>
                        </w:rPr>
                        <w:t>ROG</w:t>
                      </w:r>
                      <w:r w:rsidR="003A1C81">
                        <w:rPr>
                          <w:rFonts w:cs="Times New Roman"/>
                        </w:rPr>
                        <w:t>)</w:t>
                      </w:r>
                      <w:r>
                        <w:rPr>
                          <w:rFonts w:cs="Times New Roman"/>
                        </w:rPr>
                        <w:t xml:space="preserve">. To that end EFPIA would support changes to the Fees system that </w:t>
                      </w:r>
                      <w:r w:rsidR="00C8786C">
                        <w:rPr>
                          <w:rFonts w:cs="Times New Roman"/>
                        </w:rPr>
                        <w:t xml:space="preserve">meet the above criteria but also </w:t>
                      </w:r>
                      <w:r>
                        <w:rPr>
                          <w:rFonts w:cs="Times New Roman"/>
                        </w:rPr>
                        <w:t xml:space="preserve">enable </w:t>
                      </w:r>
                      <w:r w:rsidR="00C8786C">
                        <w:rPr>
                          <w:rFonts w:cs="Times New Roman"/>
                        </w:rPr>
                        <w:t>simplification</w:t>
                      </w:r>
                      <w:r>
                        <w:rPr>
                          <w:rFonts w:cs="Times New Roman"/>
                        </w:rPr>
                        <w:t xml:space="preserve"> initiatives </w:t>
                      </w:r>
                      <w:r w:rsidR="00C8786C">
                        <w:rPr>
                          <w:rFonts w:cs="Times New Roman"/>
                        </w:rPr>
                        <w:t>and</w:t>
                      </w:r>
                      <w:r>
                        <w:rPr>
                          <w:rFonts w:cs="Times New Roman"/>
                        </w:rPr>
                        <w:t xml:space="preserve"> remain</w:t>
                      </w:r>
                      <w:r w:rsidR="004E43A6">
                        <w:rPr>
                          <w:rFonts w:cs="Times New Roman"/>
                        </w:rPr>
                        <w:t xml:space="preserve"> cost-neutral overall </w:t>
                      </w:r>
                      <w:r w:rsidR="0020021C">
                        <w:rPr>
                          <w:rFonts w:cs="Times New Roman"/>
                        </w:rPr>
                        <w:t xml:space="preserve">to companies for the same </w:t>
                      </w:r>
                      <w:r w:rsidR="0020021C" w:rsidRPr="00887FF3">
                        <w:rPr>
                          <w:rFonts w:cs="Times New Roman"/>
                        </w:rPr>
                        <w:t xml:space="preserve">volume </w:t>
                      </w:r>
                      <w:r w:rsidR="006F15F9">
                        <w:rPr>
                          <w:rFonts w:cs="Times New Roman"/>
                        </w:rPr>
                        <w:t xml:space="preserve">of </w:t>
                      </w:r>
                      <w:r w:rsidR="00887FF3" w:rsidRPr="00887FF3">
                        <w:rPr>
                          <w:rFonts w:cs="Times New Roman"/>
                        </w:rPr>
                        <w:t>submission</w:t>
                      </w:r>
                      <w:r w:rsidR="006F15F9">
                        <w:rPr>
                          <w:rFonts w:cs="Times New Roman"/>
                        </w:rPr>
                        <w:t>s</w:t>
                      </w:r>
                      <w:r w:rsidR="0020021C" w:rsidRPr="00887FF3">
                        <w:rPr>
                          <w:rFonts w:cs="Times New Roman"/>
                        </w:rPr>
                        <w:t>,</w:t>
                      </w:r>
                      <w:r w:rsidR="0020021C">
                        <w:rPr>
                          <w:rFonts w:cs="Times New Roman"/>
                        </w:rPr>
                        <w:t xml:space="preserve"> and </w:t>
                      </w:r>
                      <w:r w:rsidR="004E43A6">
                        <w:rPr>
                          <w:rFonts w:cs="Times New Roman"/>
                        </w:rPr>
                        <w:t xml:space="preserve">provide EMA with the </w:t>
                      </w:r>
                      <w:r w:rsidR="0020021C">
                        <w:rPr>
                          <w:rFonts w:cs="Times New Roman"/>
                        </w:rPr>
                        <w:t>required</w:t>
                      </w:r>
                      <w:r w:rsidR="00FB7F9B">
                        <w:rPr>
                          <w:rFonts w:cs="Times New Roman"/>
                        </w:rPr>
                        <w:t xml:space="preserve"> </w:t>
                      </w:r>
                      <w:r w:rsidR="004E43A6">
                        <w:rPr>
                          <w:rFonts w:cs="Times New Roman"/>
                        </w:rPr>
                        <w:t>income</w:t>
                      </w:r>
                      <w:r w:rsidR="0020021C">
                        <w:rPr>
                          <w:rFonts w:cs="Times New Roman"/>
                        </w:rPr>
                        <w:t xml:space="preserve"> </w:t>
                      </w:r>
                      <w:r w:rsidR="0020021C" w:rsidRPr="00887FF3">
                        <w:rPr>
                          <w:rFonts w:cs="Times New Roman"/>
                        </w:rPr>
                        <w:t>for the</w:t>
                      </w:r>
                      <w:r w:rsidR="00B37704" w:rsidRPr="00887FF3">
                        <w:rPr>
                          <w:rFonts w:cs="Times New Roman"/>
                        </w:rPr>
                        <w:t>ir</w:t>
                      </w:r>
                      <w:r w:rsidR="0020021C" w:rsidRPr="00887FF3">
                        <w:rPr>
                          <w:rFonts w:cs="Times New Roman"/>
                        </w:rPr>
                        <w:t xml:space="preserve"> assessment</w:t>
                      </w:r>
                      <w:r w:rsidR="0020021C">
                        <w:rPr>
                          <w:rFonts w:cs="Times New Roman"/>
                        </w:rPr>
                        <w:t xml:space="preserve"> work</w:t>
                      </w:r>
                      <w:r w:rsidR="004E43A6" w:rsidRPr="004E43A6">
                        <w:rPr>
                          <w:rFonts w:cstheme="minorHAnsi"/>
                        </w:rPr>
                        <w:t xml:space="preserve">. </w:t>
                      </w:r>
                      <w:r w:rsidR="0080708C" w:rsidRPr="00C02D80">
                        <w:rPr>
                          <w:rFonts w:ascii="Calibri" w:hAnsi="Calibri" w:cs="Calibri"/>
                          <w:color w:val="000000" w:themeColor="text1"/>
                        </w:rPr>
                        <w:t>The regulatory system resource savings from EFPIA’s proposal could then be redirected to essential initiatives such as implementation of the EMA’s Regulatory Science Strategy to 2025.</w:t>
                      </w:r>
                    </w:p>
                    <w:p w14:paraId="7C87EE8D" w14:textId="77777777" w:rsidR="004E43A6" w:rsidRDefault="004E43A6" w:rsidP="004E43A6">
                      <w:pPr>
                        <w:autoSpaceDE w:val="0"/>
                        <w:autoSpaceDN w:val="0"/>
                        <w:adjustRightInd w:val="0"/>
                        <w:spacing w:after="120"/>
                        <w:jc w:val="both"/>
                        <w:rPr>
                          <w:rFonts w:cstheme="minorHAnsi"/>
                        </w:rPr>
                      </w:pPr>
                    </w:p>
                    <w:p w14:paraId="05D78F56" w14:textId="77777777" w:rsidR="004E43A6" w:rsidRDefault="004E43A6" w:rsidP="004E43A6">
                      <w:pPr>
                        <w:jc w:val="both"/>
                      </w:pPr>
                    </w:p>
                  </w:txbxContent>
                </v:textbox>
              </v:roundrect>
            </w:pict>
          </mc:Fallback>
        </mc:AlternateContent>
      </w:r>
      <w:r>
        <w:rPr>
          <w:rFonts w:cstheme="minorHAnsi"/>
          <w:noProof/>
          <w:lang w:val="en-US"/>
        </w:rPr>
        <mc:AlternateContent>
          <mc:Choice Requires="wps">
            <w:drawing>
              <wp:anchor distT="0" distB="0" distL="114300" distR="114300" simplePos="0" relativeHeight="251659264" behindDoc="0" locked="0" layoutInCell="1" allowOverlap="1" wp14:anchorId="3E76BA8A" wp14:editId="6BDF2775">
                <wp:simplePos x="0" y="0"/>
                <wp:positionH relativeFrom="column">
                  <wp:posOffset>919480</wp:posOffset>
                </wp:positionH>
                <wp:positionV relativeFrom="paragraph">
                  <wp:posOffset>133019</wp:posOffset>
                </wp:positionV>
                <wp:extent cx="3524885" cy="28003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3524885" cy="280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BECB8" w14:textId="77777777" w:rsidR="0077495E" w:rsidRPr="004E43A6" w:rsidRDefault="0077495E" w:rsidP="0077495E">
                            <w:pPr>
                              <w:jc w:val="center"/>
                              <w:rPr>
                                <w:b/>
                                <w:color w:val="9BBB59" w:themeColor="accent3"/>
                              </w:rPr>
                            </w:pPr>
                            <w:r w:rsidRPr="004E43A6">
                              <w:rPr>
                                <w:b/>
                                <w:color w:val="9BBB59" w:themeColor="accent3"/>
                              </w:rPr>
                              <w:t>Executive Summary</w:t>
                            </w:r>
                          </w:p>
                          <w:p w14:paraId="36D53E0A" w14:textId="77777777" w:rsidR="0077495E" w:rsidRDefault="00774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6BA8A" id="_x0000_t202" coordsize="21600,21600" o:spt="202" path="m,l,21600r21600,l21600,xe">
                <v:stroke joinstyle="miter"/>
                <v:path gradientshapeok="t" o:connecttype="rect"/>
              </v:shapetype>
              <v:shape id="Text Box 2" o:spid="_x0000_s1027" type="#_x0000_t202" style="position:absolute;left:0;text-align:left;margin-left:72.4pt;margin-top:10.45pt;width:277.5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" fillcolor="white [3201]" stroked="f" strokeweight=".5pt">
                <v:textbox>
                  <w:txbxContent>
                    <w:p w14:paraId="569BECB8" w14:textId="77777777" w:rsidR="0077495E" w:rsidRPr="004E43A6" w:rsidRDefault="0077495E" w:rsidP="0077495E">
                      <w:pPr>
                        <w:jc w:val="center"/>
                        <w:rPr>
                          <w:b/>
                          <w:color w:val="9BBB59" w:themeColor="accent3"/>
                        </w:rPr>
                      </w:pPr>
                      <w:r w:rsidRPr="004E43A6">
                        <w:rPr>
                          <w:b/>
                          <w:color w:val="9BBB59" w:themeColor="accent3"/>
                        </w:rPr>
                        <w:t>Executive Summary</w:t>
                      </w:r>
                    </w:p>
                    <w:p w14:paraId="36D53E0A" w14:textId="77777777" w:rsidR="0077495E" w:rsidRDefault="0077495E"/>
                  </w:txbxContent>
                </v:textbox>
              </v:shape>
            </w:pict>
          </mc:Fallback>
        </mc:AlternateContent>
      </w:r>
    </w:p>
    <w:p w14:paraId="2DB9CE64" w14:textId="77777777" w:rsidR="004E43A6" w:rsidRDefault="004E43A6" w:rsidP="004E43A6">
      <w:pPr>
        <w:autoSpaceDE w:val="0"/>
        <w:autoSpaceDN w:val="0"/>
        <w:adjustRightInd w:val="0"/>
        <w:spacing w:after="120"/>
        <w:jc w:val="both"/>
        <w:rPr>
          <w:rFonts w:cstheme="minorHAnsi"/>
        </w:rPr>
      </w:pPr>
      <w:bookmarkStart w:id="0" w:name="_GoBack"/>
      <w:bookmarkEnd w:id="0"/>
    </w:p>
    <w:p w14:paraId="4C2F941D" w14:textId="77777777" w:rsidR="004E43A6" w:rsidRDefault="004E43A6" w:rsidP="004E43A6">
      <w:pPr>
        <w:autoSpaceDE w:val="0"/>
        <w:autoSpaceDN w:val="0"/>
        <w:adjustRightInd w:val="0"/>
        <w:spacing w:after="120"/>
        <w:jc w:val="both"/>
        <w:rPr>
          <w:rFonts w:cstheme="minorHAnsi"/>
        </w:rPr>
      </w:pPr>
    </w:p>
    <w:p w14:paraId="585208CE" w14:textId="77777777" w:rsidR="004E43A6" w:rsidRDefault="004E43A6" w:rsidP="004E43A6">
      <w:pPr>
        <w:autoSpaceDE w:val="0"/>
        <w:autoSpaceDN w:val="0"/>
        <w:adjustRightInd w:val="0"/>
        <w:spacing w:after="120"/>
        <w:jc w:val="both"/>
        <w:rPr>
          <w:rFonts w:cstheme="minorHAnsi"/>
        </w:rPr>
      </w:pPr>
    </w:p>
    <w:p w14:paraId="5E28B2BB" w14:textId="77777777" w:rsidR="004E43A6" w:rsidRDefault="004E43A6" w:rsidP="004E43A6">
      <w:pPr>
        <w:autoSpaceDE w:val="0"/>
        <w:autoSpaceDN w:val="0"/>
        <w:adjustRightInd w:val="0"/>
        <w:spacing w:after="120"/>
        <w:jc w:val="both"/>
        <w:rPr>
          <w:rFonts w:cstheme="minorHAnsi"/>
        </w:rPr>
      </w:pPr>
    </w:p>
    <w:p w14:paraId="5A5D9F5A" w14:textId="77777777" w:rsidR="004E43A6" w:rsidRDefault="004E43A6" w:rsidP="004E43A6">
      <w:pPr>
        <w:autoSpaceDE w:val="0"/>
        <w:autoSpaceDN w:val="0"/>
        <w:adjustRightInd w:val="0"/>
        <w:spacing w:after="120"/>
        <w:jc w:val="both"/>
        <w:rPr>
          <w:rFonts w:cstheme="minorHAnsi"/>
        </w:rPr>
      </w:pPr>
    </w:p>
    <w:p w14:paraId="54B71D5B" w14:textId="77777777" w:rsidR="004E43A6" w:rsidRDefault="004E43A6" w:rsidP="004E43A6">
      <w:pPr>
        <w:autoSpaceDE w:val="0"/>
        <w:autoSpaceDN w:val="0"/>
        <w:adjustRightInd w:val="0"/>
        <w:spacing w:after="120"/>
        <w:jc w:val="both"/>
        <w:rPr>
          <w:rFonts w:cstheme="minorHAnsi"/>
        </w:rPr>
      </w:pPr>
    </w:p>
    <w:p w14:paraId="0FEE07D9" w14:textId="77777777" w:rsidR="004E43A6" w:rsidRDefault="004E43A6" w:rsidP="004E43A6">
      <w:pPr>
        <w:autoSpaceDE w:val="0"/>
        <w:autoSpaceDN w:val="0"/>
        <w:adjustRightInd w:val="0"/>
        <w:spacing w:after="120"/>
        <w:jc w:val="both"/>
        <w:rPr>
          <w:rFonts w:cstheme="minorHAnsi"/>
        </w:rPr>
      </w:pPr>
    </w:p>
    <w:p w14:paraId="39AFD6DD" w14:textId="77777777" w:rsidR="004E43A6" w:rsidRDefault="004E43A6" w:rsidP="004E43A6">
      <w:pPr>
        <w:autoSpaceDE w:val="0"/>
        <w:autoSpaceDN w:val="0"/>
        <w:adjustRightInd w:val="0"/>
        <w:spacing w:after="120"/>
        <w:jc w:val="both"/>
        <w:rPr>
          <w:rFonts w:cstheme="minorHAnsi"/>
        </w:rPr>
      </w:pPr>
    </w:p>
    <w:p w14:paraId="29D2BD9E" w14:textId="77777777" w:rsidR="004E43A6" w:rsidRDefault="004E43A6" w:rsidP="004E43A6">
      <w:pPr>
        <w:autoSpaceDE w:val="0"/>
        <w:autoSpaceDN w:val="0"/>
        <w:adjustRightInd w:val="0"/>
        <w:spacing w:after="120"/>
        <w:jc w:val="both"/>
        <w:rPr>
          <w:rFonts w:cstheme="minorHAnsi"/>
        </w:rPr>
      </w:pPr>
    </w:p>
    <w:p w14:paraId="14C12E5E" w14:textId="77777777" w:rsidR="004E43A6" w:rsidRDefault="004E43A6" w:rsidP="004E43A6">
      <w:pPr>
        <w:autoSpaceDE w:val="0"/>
        <w:autoSpaceDN w:val="0"/>
        <w:adjustRightInd w:val="0"/>
        <w:spacing w:after="120"/>
        <w:jc w:val="both"/>
        <w:rPr>
          <w:rFonts w:cstheme="minorHAnsi"/>
        </w:rPr>
      </w:pPr>
    </w:p>
    <w:p w14:paraId="521C8910" w14:textId="77777777" w:rsidR="004E43A6" w:rsidRDefault="004E43A6" w:rsidP="004E43A6">
      <w:pPr>
        <w:autoSpaceDE w:val="0"/>
        <w:autoSpaceDN w:val="0"/>
        <w:adjustRightInd w:val="0"/>
        <w:spacing w:after="120"/>
        <w:jc w:val="both"/>
        <w:rPr>
          <w:rFonts w:cstheme="minorHAnsi"/>
        </w:rPr>
      </w:pPr>
    </w:p>
    <w:p w14:paraId="2BC31E81" w14:textId="77777777" w:rsidR="004E43A6" w:rsidRDefault="004E43A6" w:rsidP="004E43A6">
      <w:pPr>
        <w:autoSpaceDE w:val="0"/>
        <w:autoSpaceDN w:val="0"/>
        <w:adjustRightInd w:val="0"/>
        <w:spacing w:after="120"/>
        <w:jc w:val="both"/>
        <w:rPr>
          <w:rFonts w:cstheme="minorHAnsi"/>
        </w:rPr>
      </w:pPr>
    </w:p>
    <w:p w14:paraId="7775FFB8" w14:textId="77777777" w:rsidR="004E43A6" w:rsidRDefault="004E43A6" w:rsidP="004E43A6">
      <w:pPr>
        <w:autoSpaceDE w:val="0"/>
        <w:autoSpaceDN w:val="0"/>
        <w:adjustRightInd w:val="0"/>
        <w:spacing w:after="120"/>
        <w:jc w:val="both"/>
        <w:rPr>
          <w:rFonts w:cstheme="minorHAnsi"/>
        </w:rPr>
      </w:pPr>
    </w:p>
    <w:p w14:paraId="04E03347" w14:textId="77777777" w:rsidR="004E43A6" w:rsidRDefault="004E43A6" w:rsidP="004E43A6">
      <w:pPr>
        <w:autoSpaceDE w:val="0"/>
        <w:autoSpaceDN w:val="0"/>
        <w:adjustRightInd w:val="0"/>
        <w:spacing w:after="120"/>
        <w:jc w:val="both"/>
        <w:rPr>
          <w:rFonts w:cstheme="minorHAnsi"/>
        </w:rPr>
      </w:pPr>
    </w:p>
    <w:p w14:paraId="281BE0F8" w14:textId="77777777" w:rsidR="004E43A6" w:rsidRDefault="004E43A6" w:rsidP="004E43A6">
      <w:pPr>
        <w:autoSpaceDE w:val="0"/>
        <w:autoSpaceDN w:val="0"/>
        <w:adjustRightInd w:val="0"/>
        <w:spacing w:after="120"/>
        <w:jc w:val="both"/>
        <w:rPr>
          <w:rFonts w:cstheme="minorHAnsi"/>
        </w:rPr>
      </w:pPr>
    </w:p>
    <w:p w14:paraId="50924A15" w14:textId="77777777" w:rsidR="004E43A6" w:rsidRDefault="004E43A6" w:rsidP="004E43A6">
      <w:pPr>
        <w:autoSpaceDE w:val="0"/>
        <w:autoSpaceDN w:val="0"/>
        <w:adjustRightInd w:val="0"/>
        <w:spacing w:after="120"/>
        <w:jc w:val="both"/>
        <w:rPr>
          <w:rFonts w:cstheme="minorHAnsi"/>
        </w:rPr>
      </w:pPr>
    </w:p>
    <w:p w14:paraId="1730E61E" w14:textId="77777777" w:rsidR="004E43A6" w:rsidRDefault="004E43A6" w:rsidP="004E43A6">
      <w:pPr>
        <w:autoSpaceDE w:val="0"/>
        <w:autoSpaceDN w:val="0"/>
        <w:adjustRightInd w:val="0"/>
        <w:spacing w:after="120"/>
        <w:jc w:val="both"/>
        <w:rPr>
          <w:rFonts w:cstheme="minorHAnsi"/>
        </w:rPr>
      </w:pPr>
    </w:p>
    <w:p w14:paraId="49F8C23F" w14:textId="77777777" w:rsidR="004E43A6" w:rsidRDefault="004E43A6" w:rsidP="004E43A6">
      <w:pPr>
        <w:autoSpaceDE w:val="0"/>
        <w:autoSpaceDN w:val="0"/>
        <w:adjustRightInd w:val="0"/>
        <w:spacing w:after="120"/>
        <w:jc w:val="both"/>
        <w:rPr>
          <w:rFonts w:cstheme="minorHAnsi"/>
        </w:rPr>
      </w:pPr>
    </w:p>
    <w:p w14:paraId="6740D150" w14:textId="77777777" w:rsidR="004E43A6" w:rsidRDefault="004E43A6" w:rsidP="004E43A6">
      <w:pPr>
        <w:autoSpaceDE w:val="0"/>
        <w:autoSpaceDN w:val="0"/>
        <w:adjustRightInd w:val="0"/>
        <w:spacing w:after="120"/>
        <w:jc w:val="both"/>
        <w:rPr>
          <w:rFonts w:cstheme="minorHAnsi"/>
        </w:rPr>
      </w:pPr>
    </w:p>
    <w:p w14:paraId="3CAACF84" w14:textId="77777777" w:rsidR="004E43A6" w:rsidRDefault="004E43A6" w:rsidP="004E43A6">
      <w:pPr>
        <w:autoSpaceDE w:val="0"/>
        <w:autoSpaceDN w:val="0"/>
        <w:adjustRightInd w:val="0"/>
        <w:spacing w:after="120"/>
        <w:jc w:val="both"/>
        <w:rPr>
          <w:rFonts w:cstheme="minorHAnsi"/>
        </w:rPr>
      </w:pPr>
    </w:p>
    <w:p w14:paraId="7FE7D28A" w14:textId="77777777" w:rsidR="004E43A6" w:rsidRDefault="004E43A6" w:rsidP="004E43A6">
      <w:pPr>
        <w:autoSpaceDE w:val="0"/>
        <w:autoSpaceDN w:val="0"/>
        <w:adjustRightInd w:val="0"/>
        <w:spacing w:after="120"/>
        <w:jc w:val="both"/>
        <w:rPr>
          <w:rFonts w:cstheme="minorHAnsi"/>
        </w:rPr>
      </w:pPr>
    </w:p>
    <w:p w14:paraId="7B85054B" w14:textId="77777777" w:rsidR="004E43A6" w:rsidRDefault="004E43A6" w:rsidP="004E43A6">
      <w:pPr>
        <w:autoSpaceDE w:val="0"/>
        <w:autoSpaceDN w:val="0"/>
        <w:adjustRightInd w:val="0"/>
        <w:spacing w:after="120"/>
        <w:jc w:val="both"/>
        <w:rPr>
          <w:rFonts w:cstheme="minorHAnsi"/>
        </w:rPr>
      </w:pPr>
    </w:p>
    <w:p w14:paraId="3929168B" w14:textId="77777777" w:rsidR="00514611" w:rsidRDefault="00514611" w:rsidP="004E43A6">
      <w:pPr>
        <w:autoSpaceDE w:val="0"/>
        <w:autoSpaceDN w:val="0"/>
        <w:adjustRightInd w:val="0"/>
        <w:spacing w:after="120"/>
        <w:jc w:val="both"/>
        <w:rPr>
          <w:rFonts w:cstheme="minorHAnsi"/>
        </w:rPr>
      </w:pPr>
    </w:p>
    <w:p w14:paraId="7852958E" w14:textId="77777777" w:rsidR="00514611" w:rsidRDefault="00514611" w:rsidP="004E43A6">
      <w:pPr>
        <w:autoSpaceDE w:val="0"/>
        <w:autoSpaceDN w:val="0"/>
        <w:adjustRightInd w:val="0"/>
        <w:spacing w:after="120"/>
        <w:jc w:val="both"/>
        <w:rPr>
          <w:rFonts w:cstheme="minorHAnsi"/>
        </w:rPr>
      </w:pPr>
    </w:p>
    <w:p w14:paraId="1340583B" w14:textId="77777777" w:rsidR="00514611" w:rsidRDefault="006604E6" w:rsidP="004E43A6">
      <w:pPr>
        <w:autoSpaceDE w:val="0"/>
        <w:autoSpaceDN w:val="0"/>
        <w:adjustRightInd w:val="0"/>
        <w:spacing w:after="120"/>
        <w:jc w:val="both"/>
        <w:rPr>
          <w:rFonts w:cstheme="minorHAnsi"/>
        </w:rPr>
      </w:pPr>
      <w:r>
        <w:rPr>
          <w:rFonts w:cstheme="minorHAnsi"/>
        </w:rPr>
        <w:t xml:space="preserve"> </w:t>
      </w:r>
    </w:p>
    <w:p w14:paraId="26859BCA" w14:textId="77777777" w:rsidR="00B37704" w:rsidRDefault="00B37704" w:rsidP="00695CF3">
      <w:pPr>
        <w:autoSpaceDE w:val="0"/>
        <w:autoSpaceDN w:val="0"/>
        <w:adjustRightInd w:val="0"/>
        <w:spacing w:before="360" w:after="240"/>
        <w:jc w:val="both"/>
        <w:rPr>
          <w:rFonts w:cstheme="minorHAnsi"/>
          <w:b/>
          <w:color w:val="9BBB59" w:themeColor="accent3"/>
          <w:sz w:val="24"/>
        </w:rPr>
      </w:pPr>
    </w:p>
    <w:p w14:paraId="2889F47D" w14:textId="77777777" w:rsidR="0080708C" w:rsidRDefault="0080708C" w:rsidP="006F15F9">
      <w:pPr>
        <w:autoSpaceDE w:val="0"/>
        <w:autoSpaceDN w:val="0"/>
        <w:adjustRightInd w:val="0"/>
        <w:spacing w:before="360" w:after="120"/>
        <w:jc w:val="both"/>
        <w:rPr>
          <w:rFonts w:cstheme="minorHAnsi"/>
          <w:b/>
          <w:color w:val="9BBB59" w:themeColor="accent3"/>
          <w:sz w:val="24"/>
        </w:rPr>
      </w:pPr>
    </w:p>
    <w:p w14:paraId="6EB64B61" w14:textId="41A9C226" w:rsidR="00514611" w:rsidRPr="00514611" w:rsidRDefault="00514611" w:rsidP="006F15F9">
      <w:pPr>
        <w:autoSpaceDE w:val="0"/>
        <w:autoSpaceDN w:val="0"/>
        <w:adjustRightInd w:val="0"/>
        <w:spacing w:before="360" w:after="120"/>
        <w:jc w:val="both"/>
        <w:rPr>
          <w:rFonts w:cstheme="minorHAnsi"/>
          <w:b/>
          <w:color w:val="9BBB59" w:themeColor="accent3"/>
          <w:sz w:val="24"/>
        </w:rPr>
      </w:pPr>
      <w:r w:rsidRPr="00514611">
        <w:rPr>
          <w:rFonts w:cstheme="minorHAnsi"/>
          <w:b/>
          <w:color w:val="9BBB59" w:themeColor="accent3"/>
          <w:sz w:val="24"/>
        </w:rPr>
        <w:t>Introduction</w:t>
      </w:r>
    </w:p>
    <w:p w14:paraId="6276AE83" w14:textId="574677BA" w:rsidR="001A3A26" w:rsidRDefault="001A3A26" w:rsidP="00C8786C">
      <w:pPr>
        <w:jc w:val="both"/>
      </w:pPr>
      <w:r>
        <w:t xml:space="preserve">The current fee system seeks to levy fees from </w:t>
      </w:r>
      <w:r w:rsidR="00AB4E87">
        <w:t xml:space="preserve">Marketing Authorisation Applicants and </w:t>
      </w:r>
      <w:r>
        <w:t xml:space="preserve">Marketing Authorisation Holders (MAH), in a proportionate way, with lower fees being charged for simpler procedures requiring minimal or no scientific review and higher fees being charged as complexity of scientific review increases, with the highest fees being charged for assessment of </w:t>
      </w:r>
      <w:r w:rsidR="00C8786C">
        <w:t>M</w:t>
      </w:r>
      <w:r>
        <w:t xml:space="preserve">arketing </w:t>
      </w:r>
      <w:r w:rsidR="00C8786C">
        <w:t>A</w:t>
      </w:r>
      <w:r>
        <w:t xml:space="preserve">uthorisation </w:t>
      </w:r>
      <w:r w:rsidR="00C8786C">
        <w:t>A</w:t>
      </w:r>
      <w:r>
        <w:t>pplications (MAAs) for new active substances.</w:t>
      </w:r>
    </w:p>
    <w:p w14:paraId="456BFCF3" w14:textId="77777777" w:rsidR="0080708C" w:rsidRDefault="0080708C" w:rsidP="00C8786C">
      <w:pPr>
        <w:jc w:val="both"/>
      </w:pPr>
    </w:p>
    <w:p w14:paraId="7E11D58A" w14:textId="77777777" w:rsidR="001A3A26" w:rsidRDefault="001A3A26" w:rsidP="00C8786C">
      <w:pPr>
        <w:jc w:val="both"/>
      </w:pPr>
      <w:r>
        <w:lastRenderedPageBreak/>
        <w:t xml:space="preserve">Whilst Industry absolutely agrees with the principle of levying fees in a proportional way, implementation of the current fee structure has resulted in some anomalies in the way this is applied that need </w:t>
      </w:r>
      <w:r w:rsidR="00C8786C">
        <w:t>amendment</w:t>
      </w:r>
      <w:r>
        <w:t xml:space="preserve">. In addition, an unintended consequence of the way in which fees are charged has resulted in </w:t>
      </w:r>
      <w:r w:rsidR="00DB1B51">
        <w:t>significant</w:t>
      </w:r>
      <w:r>
        <w:t xml:space="preserve"> levels of resource being diverted to process and invoice the simplest administrative submissions, resource that could be better utilised by all stakeholders to advance innovation</w:t>
      </w:r>
      <w:r w:rsidR="00AB4E87">
        <w:t xml:space="preserve"> and patient health</w:t>
      </w:r>
      <w:r>
        <w:t>.</w:t>
      </w:r>
    </w:p>
    <w:p w14:paraId="0D3A1C4D" w14:textId="77777777" w:rsidR="001A3A26" w:rsidRDefault="001A3A26" w:rsidP="00C8786C">
      <w:pPr>
        <w:jc w:val="both"/>
      </w:pPr>
    </w:p>
    <w:p w14:paraId="095C718B" w14:textId="77777777" w:rsidR="001A3A26" w:rsidRDefault="001A3A26" w:rsidP="00C8786C">
      <w:pPr>
        <w:jc w:val="both"/>
      </w:pPr>
      <w:r>
        <w:t>This position paper proposes a potential way forward to deal with the anomalies in the current fee system and a new way to deal with the simpler, resource consuming submissions whilst maintaining a cost-neutral funding model that ensures continuity of existing current funding levels</w:t>
      </w:r>
      <w:r w:rsidR="00313149">
        <w:t xml:space="preserve"> for EMA</w:t>
      </w:r>
      <w:r>
        <w:t>.</w:t>
      </w:r>
    </w:p>
    <w:p w14:paraId="3A7CA47C" w14:textId="77777777" w:rsidR="001A3A26" w:rsidRDefault="001A3A26" w:rsidP="001A3A26">
      <w:pPr>
        <w:ind w:left="360"/>
        <w:jc w:val="both"/>
      </w:pPr>
    </w:p>
    <w:p w14:paraId="5ABEEB5B" w14:textId="77777777" w:rsidR="001A3A26" w:rsidRDefault="001A3A26" w:rsidP="001A3A26">
      <w:pPr>
        <w:ind w:left="360"/>
        <w:jc w:val="both"/>
      </w:pPr>
    </w:p>
    <w:p w14:paraId="6957F8BE" w14:textId="77777777" w:rsidR="001A3A26" w:rsidRPr="0077495E" w:rsidRDefault="001A3A26" w:rsidP="006F15F9">
      <w:pPr>
        <w:autoSpaceDE w:val="0"/>
        <w:autoSpaceDN w:val="0"/>
        <w:adjustRightInd w:val="0"/>
        <w:spacing w:after="120"/>
        <w:jc w:val="both"/>
        <w:rPr>
          <w:rFonts w:cstheme="minorHAnsi"/>
          <w:b/>
          <w:color w:val="9BBB59" w:themeColor="accent3"/>
          <w:sz w:val="24"/>
        </w:rPr>
      </w:pPr>
      <w:r w:rsidRPr="0077495E">
        <w:rPr>
          <w:rFonts w:cstheme="minorHAnsi"/>
          <w:b/>
          <w:color w:val="9BBB59" w:themeColor="accent3"/>
          <w:sz w:val="24"/>
        </w:rPr>
        <w:t>Proposal:</w:t>
      </w:r>
    </w:p>
    <w:p w14:paraId="6EEE866F" w14:textId="77777777" w:rsidR="001A3A26" w:rsidRPr="001A3A26" w:rsidRDefault="0077495E" w:rsidP="00C8786C">
      <w:pPr>
        <w:pStyle w:val="ListParagraph"/>
        <w:numPr>
          <w:ilvl w:val="0"/>
          <w:numId w:val="15"/>
        </w:numPr>
        <w:ind w:left="360"/>
        <w:jc w:val="both"/>
        <w:rPr>
          <w:b/>
        </w:rPr>
      </w:pPr>
      <w:r>
        <w:rPr>
          <w:b/>
        </w:rPr>
        <w:t>Expansion of the Scope of the Annual Maintenance Fee</w:t>
      </w:r>
    </w:p>
    <w:p w14:paraId="4FA8425D" w14:textId="77777777" w:rsidR="00514611" w:rsidRDefault="006604E6" w:rsidP="00C8786C">
      <w:pPr>
        <w:jc w:val="both"/>
      </w:pPr>
      <w:r>
        <w:t xml:space="preserve">Whilst fee levels for </w:t>
      </w:r>
      <w:r w:rsidR="00514611">
        <w:t xml:space="preserve">Type IA, so called “do and tell” variations </w:t>
      </w:r>
      <w:r>
        <w:t xml:space="preserve">and Type IB variations are relatively low compared to other categories of procedures that attract a fee, these variations </w:t>
      </w:r>
      <w:r w:rsidR="00514611">
        <w:t xml:space="preserve">numerically comprise the majority of submissions made to EMA that attract a fee. </w:t>
      </w:r>
    </w:p>
    <w:p w14:paraId="0506D550" w14:textId="77777777" w:rsidR="00514611" w:rsidRDefault="00514611" w:rsidP="00C8786C">
      <w:pPr>
        <w:jc w:val="both"/>
      </w:pPr>
    </w:p>
    <w:p w14:paraId="72320446" w14:textId="77777777" w:rsidR="005F03AD" w:rsidRDefault="00514611" w:rsidP="00C8786C">
      <w:pPr>
        <w:jc w:val="both"/>
      </w:pPr>
      <w:r>
        <w:t xml:space="preserve">Whilst these variations are simple </w:t>
      </w:r>
      <w:r w:rsidR="001A3A26">
        <w:t>by definition</w:t>
      </w:r>
      <w:r>
        <w:t xml:space="preserve">, the </w:t>
      </w:r>
      <w:r w:rsidR="00DB1B51">
        <w:t>number</w:t>
      </w:r>
      <w:r>
        <w:t xml:space="preserve">s involved result in the need for significant resourcing levels at the Agency and at the MAH simply for processing and invoicing purposes, </w:t>
      </w:r>
      <w:r w:rsidR="00313149">
        <w:t xml:space="preserve">which seem disproportionate </w:t>
      </w:r>
      <w:r>
        <w:t xml:space="preserve">since </w:t>
      </w:r>
      <w:r w:rsidR="00313149">
        <w:t xml:space="preserve">minimal or </w:t>
      </w:r>
      <w:r>
        <w:t>no formal scientific review is required</w:t>
      </w:r>
      <w:r w:rsidR="001A3A26">
        <w:t>.</w:t>
      </w:r>
      <w:r>
        <w:t xml:space="preserve"> </w:t>
      </w:r>
      <w:r w:rsidR="005F03AD">
        <w:t xml:space="preserve">A </w:t>
      </w:r>
      <w:r w:rsidR="00D61262">
        <w:t>predictable</w:t>
      </w:r>
      <w:r w:rsidR="00313149">
        <w:t xml:space="preserve"> and equitable </w:t>
      </w:r>
      <w:r w:rsidR="005F03AD">
        <w:t xml:space="preserve">fee structure which significantly reduces the administrative burden associated with their financial processing </w:t>
      </w:r>
      <w:r w:rsidR="00313149">
        <w:t>by companies and EMA, while generating the necessary level of income for the Agency,</w:t>
      </w:r>
      <w:r w:rsidR="00B37704">
        <w:t xml:space="preserve"> </w:t>
      </w:r>
      <w:r w:rsidR="005F03AD">
        <w:t>would benefit all.</w:t>
      </w:r>
    </w:p>
    <w:p w14:paraId="03DAE3B3" w14:textId="77777777" w:rsidR="001A3A26" w:rsidRDefault="001A3A26" w:rsidP="00C8786C">
      <w:pPr>
        <w:jc w:val="both"/>
      </w:pPr>
    </w:p>
    <w:p w14:paraId="7F5DFDA6" w14:textId="77777777" w:rsidR="001A3A26" w:rsidRDefault="00313149" w:rsidP="00C8786C">
      <w:pPr>
        <w:jc w:val="both"/>
      </w:pPr>
      <w:r>
        <w:t xml:space="preserve">In addition, </w:t>
      </w:r>
      <w:r w:rsidR="0077495E">
        <w:t xml:space="preserve">the experience of EFPIA member companies suggest that </w:t>
      </w:r>
      <w:r w:rsidR="001A3A26">
        <w:t>the number of Ty</w:t>
      </w:r>
      <w:r w:rsidR="005F03AD">
        <w:t xml:space="preserve">pe IA variations submitted per </w:t>
      </w:r>
      <w:r w:rsidR="0077495E">
        <w:t>MA</w:t>
      </w:r>
      <w:r w:rsidR="001A3A26">
        <w:t xml:space="preserve"> per annum decreases with time</w:t>
      </w:r>
      <w:r w:rsidR="0077495E">
        <w:t xml:space="preserve"> over the lifecycle of the medicinal product</w:t>
      </w:r>
      <w:r w:rsidR="005F03AD">
        <w:t xml:space="preserve">, regardless of the </w:t>
      </w:r>
      <w:r w:rsidR="0077495E">
        <w:t xml:space="preserve">specific </w:t>
      </w:r>
      <w:r w:rsidR="005F03AD">
        <w:t>product or MAH.</w:t>
      </w:r>
    </w:p>
    <w:p w14:paraId="53D8CF47" w14:textId="77777777" w:rsidR="005F03AD" w:rsidRDefault="005F03AD" w:rsidP="00C8786C">
      <w:pPr>
        <w:jc w:val="both"/>
      </w:pPr>
    </w:p>
    <w:p w14:paraId="3F94A7F1" w14:textId="0ECDE56B" w:rsidR="005F03AD" w:rsidRDefault="005F03AD" w:rsidP="00C8786C">
      <w:pPr>
        <w:jc w:val="both"/>
      </w:pPr>
      <w:proofErr w:type="gramStart"/>
      <w:r>
        <w:t>Thus</w:t>
      </w:r>
      <w:proofErr w:type="gramEnd"/>
      <w:r>
        <w:t xml:space="preserve"> EFPIA’s proposal comprises:</w:t>
      </w:r>
    </w:p>
    <w:p w14:paraId="02F0DAC2" w14:textId="77777777" w:rsidR="00514611" w:rsidRPr="006F15F9" w:rsidRDefault="00514611" w:rsidP="00514611">
      <w:pPr>
        <w:ind w:left="360"/>
        <w:jc w:val="both"/>
        <w:rPr>
          <w:sz w:val="12"/>
          <w:szCs w:val="12"/>
        </w:rPr>
      </w:pPr>
      <w:r w:rsidRPr="006F15F9">
        <w:rPr>
          <w:sz w:val="12"/>
          <w:szCs w:val="12"/>
        </w:rPr>
        <w:t xml:space="preserve"> </w:t>
      </w:r>
    </w:p>
    <w:p w14:paraId="6D04E73E" w14:textId="6F374475" w:rsidR="00226656" w:rsidRPr="00514611" w:rsidRDefault="00DF6957" w:rsidP="00514611">
      <w:pPr>
        <w:numPr>
          <w:ilvl w:val="0"/>
          <w:numId w:val="12"/>
        </w:numPr>
        <w:jc w:val="both"/>
      </w:pPr>
      <w:r w:rsidRPr="00514611">
        <w:rPr>
          <w:lang w:val="en-US"/>
        </w:rPr>
        <w:t>Replace</w:t>
      </w:r>
      <w:r w:rsidR="005F03AD">
        <w:rPr>
          <w:lang w:val="en-US"/>
        </w:rPr>
        <w:t>ment of</w:t>
      </w:r>
      <w:r w:rsidRPr="00514611">
        <w:rPr>
          <w:lang w:val="en-US"/>
        </w:rPr>
        <w:t xml:space="preserve"> Type IA and Type IB variation</w:t>
      </w:r>
      <w:r w:rsidR="00BB0CEC">
        <w:rPr>
          <w:lang w:val="en-US"/>
        </w:rPr>
        <w:t xml:space="preserve"> fees</w:t>
      </w:r>
      <w:r w:rsidRPr="00514611">
        <w:rPr>
          <w:lang w:val="en-US"/>
        </w:rPr>
        <w:t xml:space="preserve"> with </w:t>
      </w:r>
      <w:r w:rsidR="005F03AD">
        <w:rPr>
          <w:lang w:val="en-US"/>
        </w:rPr>
        <w:t xml:space="preserve">an annual maintenance fee for all </w:t>
      </w:r>
      <w:r w:rsidR="00BB0CEC">
        <w:rPr>
          <w:lang w:val="en-US"/>
        </w:rPr>
        <w:t>MAs</w:t>
      </w:r>
      <w:r w:rsidR="005F03AD">
        <w:rPr>
          <w:lang w:val="en-US"/>
        </w:rPr>
        <w:t xml:space="preserve">, based on the </w:t>
      </w:r>
      <w:proofErr w:type="spellStart"/>
      <w:r w:rsidR="005F03AD">
        <w:rPr>
          <w:lang w:val="en-US"/>
        </w:rPr>
        <w:t>xEVMPD</w:t>
      </w:r>
      <w:proofErr w:type="spellEnd"/>
      <w:r w:rsidR="005F03AD">
        <w:rPr>
          <w:lang w:val="en-US"/>
        </w:rPr>
        <w:t xml:space="preserve"> database</w:t>
      </w:r>
      <w:r w:rsidR="00887FF3">
        <w:rPr>
          <w:lang w:val="en-US"/>
        </w:rPr>
        <w:t xml:space="preserve"> </w:t>
      </w:r>
      <w:r w:rsidR="00887FF3" w:rsidRPr="00270692">
        <w:rPr>
          <w:lang w:val="en-US"/>
        </w:rPr>
        <w:t>(at the formulation level)</w:t>
      </w:r>
      <w:r w:rsidR="005F03AD" w:rsidRPr="00270692">
        <w:rPr>
          <w:lang w:val="en-US"/>
        </w:rPr>
        <w:t>:</w:t>
      </w:r>
      <w:r w:rsidRPr="00514611">
        <w:rPr>
          <w:lang w:val="en-US"/>
        </w:rPr>
        <w:t xml:space="preserve"> </w:t>
      </w:r>
    </w:p>
    <w:p w14:paraId="70281A27" w14:textId="77777777" w:rsidR="00226656" w:rsidRPr="00BB0CEC" w:rsidRDefault="00DF6957" w:rsidP="00E2165D">
      <w:pPr>
        <w:numPr>
          <w:ilvl w:val="1"/>
          <w:numId w:val="12"/>
        </w:numPr>
        <w:spacing w:after="60"/>
        <w:ind w:left="1434" w:hanging="357"/>
        <w:jc w:val="both"/>
        <w:rPr>
          <w:lang w:val="en-US"/>
        </w:rPr>
      </w:pPr>
      <w:r w:rsidRPr="00514611">
        <w:rPr>
          <w:lang w:val="en-US"/>
        </w:rPr>
        <w:t xml:space="preserve">The advantages of </w:t>
      </w:r>
      <w:r w:rsidR="005F03AD">
        <w:rPr>
          <w:lang w:val="en-US"/>
        </w:rPr>
        <w:t>adoption of a single charge per MAH p</w:t>
      </w:r>
      <w:r w:rsidR="00BB0CEC">
        <w:rPr>
          <w:lang w:val="en-US"/>
        </w:rPr>
        <w:t>er</w:t>
      </w:r>
      <w:r w:rsidR="005F03AD">
        <w:rPr>
          <w:lang w:val="en-US"/>
        </w:rPr>
        <w:t xml:space="preserve"> MA per year </w:t>
      </w:r>
      <w:r w:rsidR="00BB0CEC">
        <w:rPr>
          <w:lang w:val="en-US"/>
        </w:rPr>
        <w:t>are</w:t>
      </w:r>
      <w:r w:rsidR="005F03AD">
        <w:rPr>
          <w:lang w:val="en-US"/>
        </w:rPr>
        <w:t xml:space="preserve"> that the </w:t>
      </w:r>
      <w:r w:rsidRPr="00514611">
        <w:rPr>
          <w:lang w:val="en-US"/>
        </w:rPr>
        <w:t xml:space="preserve">system </w:t>
      </w:r>
      <w:r w:rsidR="005F03AD">
        <w:rPr>
          <w:lang w:val="en-US"/>
        </w:rPr>
        <w:t xml:space="preserve">would be much </w:t>
      </w:r>
      <w:r w:rsidRPr="00514611">
        <w:rPr>
          <w:lang w:val="en-US"/>
        </w:rPr>
        <w:t>simpler and predictable</w:t>
      </w:r>
      <w:r w:rsidR="005F03AD">
        <w:rPr>
          <w:lang w:val="en-US"/>
        </w:rPr>
        <w:t xml:space="preserve"> to apply</w:t>
      </w:r>
      <w:r w:rsidRPr="00514611">
        <w:rPr>
          <w:lang w:val="en-US"/>
        </w:rPr>
        <w:t xml:space="preserve">, for </w:t>
      </w:r>
      <w:r w:rsidR="005F03AD">
        <w:rPr>
          <w:lang w:val="en-US"/>
        </w:rPr>
        <w:t xml:space="preserve">both the Agency </w:t>
      </w:r>
      <w:r w:rsidRPr="00514611">
        <w:rPr>
          <w:lang w:val="en-US"/>
        </w:rPr>
        <w:t xml:space="preserve">and Industry. </w:t>
      </w:r>
      <w:proofErr w:type="gramStart"/>
      <w:r w:rsidRPr="00514611">
        <w:rPr>
          <w:lang w:val="en-US"/>
        </w:rPr>
        <w:t>Furthermore</w:t>
      </w:r>
      <w:proofErr w:type="gramEnd"/>
      <w:r w:rsidRPr="00514611">
        <w:rPr>
          <w:lang w:val="en-US"/>
        </w:rPr>
        <w:t xml:space="preserve"> it </w:t>
      </w:r>
      <w:r w:rsidR="005F03AD">
        <w:rPr>
          <w:lang w:val="en-US"/>
        </w:rPr>
        <w:t xml:space="preserve">promotes streamlining of variation processes and </w:t>
      </w:r>
      <w:r w:rsidR="005F03AD" w:rsidRPr="00887FF3">
        <w:rPr>
          <w:lang w:val="en-US"/>
        </w:rPr>
        <w:t xml:space="preserve">procedures by removing the </w:t>
      </w:r>
      <w:r w:rsidR="00BB0CEC" w:rsidRPr="00887FF3">
        <w:rPr>
          <w:lang w:val="en-US"/>
        </w:rPr>
        <w:t xml:space="preserve">unintended </w:t>
      </w:r>
      <w:r w:rsidR="005F03AD" w:rsidRPr="00887FF3">
        <w:rPr>
          <w:lang w:val="en-US"/>
        </w:rPr>
        <w:t>i</w:t>
      </w:r>
      <w:r w:rsidRPr="00887FF3">
        <w:rPr>
          <w:lang w:val="en-US"/>
        </w:rPr>
        <w:t xml:space="preserve">ncentive to classify more and more </w:t>
      </w:r>
      <w:r w:rsidR="00887FF3" w:rsidRPr="00887FF3">
        <w:rPr>
          <w:lang w:val="en-US"/>
        </w:rPr>
        <w:t xml:space="preserve">regulatory </w:t>
      </w:r>
      <w:r w:rsidRPr="00887FF3">
        <w:rPr>
          <w:color w:val="000000" w:themeColor="text1"/>
          <w:lang w:val="en-US"/>
        </w:rPr>
        <w:t xml:space="preserve">activities as variations </w:t>
      </w:r>
      <w:r w:rsidRPr="00514611">
        <w:rPr>
          <w:lang w:val="en-US"/>
        </w:rPr>
        <w:t xml:space="preserve">to increase income from fees. </w:t>
      </w:r>
    </w:p>
    <w:p w14:paraId="4D8038D6" w14:textId="77777777" w:rsidR="00226656" w:rsidRPr="00BB0CEC" w:rsidRDefault="00DF6957" w:rsidP="00BB0CEC">
      <w:pPr>
        <w:numPr>
          <w:ilvl w:val="0"/>
          <w:numId w:val="12"/>
        </w:numPr>
        <w:jc w:val="both"/>
        <w:rPr>
          <w:lang w:val="en-US"/>
        </w:rPr>
      </w:pPr>
      <w:r w:rsidRPr="00514611">
        <w:rPr>
          <w:lang w:val="en-US"/>
        </w:rPr>
        <w:t xml:space="preserve">The following types </w:t>
      </w:r>
      <w:r w:rsidR="005F03AD">
        <w:rPr>
          <w:lang w:val="en-US"/>
        </w:rPr>
        <w:t xml:space="preserve">of </w:t>
      </w:r>
      <w:r w:rsidRPr="00514611">
        <w:rPr>
          <w:lang w:val="en-US"/>
        </w:rPr>
        <w:t xml:space="preserve">procedures </w:t>
      </w:r>
      <w:r w:rsidR="005F03AD">
        <w:rPr>
          <w:lang w:val="en-US"/>
        </w:rPr>
        <w:t xml:space="preserve">would be </w:t>
      </w:r>
      <w:r w:rsidRPr="00514611">
        <w:rPr>
          <w:lang w:val="en-US"/>
        </w:rPr>
        <w:t xml:space="preserve">included in the </w:t>
      </w:r>
      <w:r w:rsidR="00BB0CEC">
        <w:rPr>
          <w:lang w:val="en-US"/>
        </w:rPr>
        <w:t xml:space="preserve">expanded </w:t>
      </w:r>
      <w:r w:rsidRPr="00514611">
        <w:rPr>
          <w:lang w:val="en-US"/>
        </w:rPr>
        <w:t>annual maintenance fee</w:t>
      </w:r>
      <w:r w:rsidR="00C8786C">
        <w:rPr>
          <w:lang w:val="en-US"/>
        </w:rPr>
        <w:t xml:space="preserve"> since they comprise routine maintenance activities for all MAs</w:t>
      </w:r>
      <w:r w:rsidRPr="00514611">
        <w:rPr>
          <w:lang w:val="en-US"/>
        </w:rPr>
        <w:t xml:space="preserve">: </w:t>
      </w:r>
    </w:p>
    <w:p w14:paraId="4B114E85" w14:textId="053E12A2" w:rsidR="00226656" w:rsidRPr="00B37704" w:rsidRDefault="00DF6957" w:rsidP="00BB0CEC">
      <w:pPr>
        <w:numPr>
          <w:ilvl w:val="1"/>
          <w:numId w:val="12"/>
        </w:numPr>
        <w:jc w:val="both"/>
        <w:rPr>
          <w:color w:val="000000" w:themeColor="text1"/>
          <w:lang w:val="en-US"/>
        </w:rPr>
      </w:pPr>
      <w:r w:rsidRPr="00514611">
        <w:rPr>
          <w:lang w:val="en-US"/>
        </w:rPr>
        <w:t xml:space="preserve">PV </w:t>
      </w:r>
      <w:r w:rsidRPr="00B37704">
        <w:rPr>
          <w:color w:val="000000" w:themeColor="text1"/>
          <w:lang w:val="en-US"/>
        </w:rPr>
        <w:t>activities</w:t>
      </w:r>
      <w:r w:rsidR="00BB0CEC" w:rsidRPr="00B37704">
        <w:rPr>
          <w:color w:val="000000" w:themeColor="text1"/>
          <w:lang w:val="en-US"/>
        </w:rPr>
        <w:t>;</w:t>
      </w:r>
      <w:r w:rsidRPr="00B37704">
        <w:rPr>
          <w:color w:val="000000" w:themeColor="text1"/>
          <w:lang w:val="en-US"/>
        </w:rPr>
        <w:t xml:space="preserve"> </w:t>
      </w:r>
    </w:p>
    <w:p w14:paraId="71FE29EB" w14:textId="13C42A29" w:rsidR="00226656" w:rsidRPr="00B37704" w:rsidRDefault="00887FF3" w:rsidP="00BB0CEC">
      <w:pPr>
        <w:numPr>
          <w:ilvl w:val="1"/>
          <w:numId w:val="12"/>
        </w:numPr>
        <w:jc w:val="both"/>
        <w:rPr>
          <w:color w:val="000000" w:themeColor="text1"/>
          <w:lang w:val="en-US"/>
        </w:rPr>
      </w:pPr>
      <w:r>
        <w:rPr>
          <w:lang w:val="en-US"/>
        </w:rPr>
        <w:t>Renewal</w:t>
      </w:r>
      <w:r w:rsidR="00DF6957" w:rsidRPr="00514611">
        <w:rPr>
          <w:lang w:val="en-US"/>
        </w:rPr>
        <w:t>s</w:t>
      </w:r>
      <w:r w:rsidR="00BB0CEC" w:rsidRPr="00B37704">
        <w:rPr>
          <w:color w:val="000000" w:themeColor="text1"/>
          <w:lang w:val="en-US"/>
        </w:rPr>
        <w:t>.</w:t>
      </w:r>
    </w:p>
    <w:p w14:paraId="3E9B01E6" w14:textId="415E75FA" w:rsidR="00226656" w:rsidRPr="00BB0CEC" w:rsidRDefault="00DF6957" w:rsidP="00BB0CEC">
      <w:pPr>
        <w:numPr>
          <w:ilvl w:val="0"/>
          <w:numId w:val="12"/>
        </w:numPr>
        <w:jc w:val="both"/>
        <w:rPr>
          <w:lang w:val="en-US"/>
        </w:rPr>
      </w:pPr>
      <w:r w:rsidRPr="00514611">
        <w:rPr>
          <w:lang w:val="en-US"/>
        </w:rPr>
        <w:t xml:space="preserve">Lower </w:t>
      </w:r>
      <w:r w:rsidR="005F03AD">
        <w:rPr>
          <w:lang w:val="en-US"/>
        </w:rPr>
        <w:t xml:space="preserve">annual </w:t>
      </w:r>
      <w:r w:rsidRPr="00514611">
        <w:rPr>
          <w:lang w:val="en-US"/>
        </w:rPr>
        <w:t>maintenance fee</w:t>
      </w:r>
      <w:r w:rsidR="005F03AD">
        <w:rPr>
          <w:lang w:val="en-US"/>
        </w:rPr>
        <w:t>s</w:t>
      </w:r>
      <w:r w:rsidRPr="00514611">
        <w:rPr>
          <w:lang w:val="en-US"/>
        </w:rPr>
        <w:t xml:space="preserve"> </w:t>
      </w:r>
      <w:r w:rsidR="005F03AD">
        <w:rPr>
          <w:lang w:val="en-US"/>
        </w:rPr>
        <w:t>would be appropriate for pro</w:t>
      </w:r>
      <w:r w:rsidRPr="00514611">
        <w:rPr>
          <w:lang w:val="en-US"/>
        </w:rPr>
        <w:t xml:space="preserve">ducts no longer subject to </w:t>
      </w:r>
      <w:r w:rsidRPr="00B37704">
        <w:rPr>
          <w:color w:val="000000" w:themeColor="text1"/>
          <w:lang w:val="en-US"/>
        </w:rPr>
        <w:t xml:space="preserve">renewal </w:t>
      </w:r>
      <w:r w:rsidR="005F03AD" w:rsidRPr="00B37704">
        <w:rPr>
          <w:color w:val="000000" w:themeColor="text1"/>
          <w:lang w:val="en-US"/>
        </w:rPr>
        <w:t xml:space="preserve">to reflect the decreasing number of changes made to MAs </w:t>
      </w:r>
      <w:r w:rsidR="00C8786C" w:rsidRPr="00B37704">
        <w:rPr>
          <w:color w:val="000000" w:themeColor="text1"/>
          <w:lang w:val="en-US"/>
        </w:rPr>
        <w:t>during</w:t>
      </w:r>
      <w:r w:rsidR="005F03AD" w:rsidRPr="00B37704">
        <w:rPr>
          <w:color w:val="000000" w:themeColor="text1"/>
          <w:lang w:val="en-US"/>
        </w:rPr>
        <w:t xml:space="preserve"> their lifecycle as products become</w:t>
      </w:r>
      <w:r w:rsidR="005F03AD">
        <w:rPr>
          <w:lang w:val="en-US"/>
        </w:rPr>
        <w:t xml:space="preserve"> </w:t>
      </w:r>
      <w:r w:rsidR="00C8786C">
        <w:rPr>
          <w:lang w:val="en-US"/>
        </w:rPr>
        <w:t xml:space="preserve">more </w:t>
      </w:r>
      <w:r w:rsidR="005F03AD">
        <w:rPr>
          <w:lang w:val="en-US"/>
        </w:rPr>
        <w:t xml:space="preserve">established. </w:t>
      </w:r>
      <w:r w:rsidR="00C8786C">
        <w:rPr>
          <w:lang w:val="en-US"/>
        </w:rPr>
        <w:t>EFPIA</w:t>
      </w:r>
      <w:r w:rsidR="005F03AD">
        <w:rPr>
          <w:lang w:val="en-US"/>
        </w:rPr>
        <w:t xml:space="preserve"> propose</w:t>
      </w:r>
      <w:r w:rsidR="00C8786C">
        <w:rPr>
          <w:lang w:val="en-US"/>
        </w:rPr>
        <w:t>s</w:t>
      </w:r>
      <w:r w:rsidR="005F03AD">
        <w:rPr>
          <w:lang w:val="en-US"/>
        </w:rPr>
        <w:t>:</w:t>
      </w:r>
    </w:p>
    <w:p w14:paraId="5BA4B330" w14:textId="77777777" w:rsidR="00226656" w:rsidRPr="00BB0CEC" w:rsidRDefault="00DF6957" w:rsidP="00BB0CEC">
      <w:pPr>
        <w:numPr>
          <w:ilvl w:val="1"/>
          <w:numId w:val="12"/>
        </w:numPr>
        <w:jc w:val="both"/>
        <w:rPr>
          <w:lang w:val="en-US"/>
        </w:rPr>
      </w:pPr>
      <w:r w:rsidRPr="00514611">
        <w:rPr>
          <w:lang w:val="en-US"/>
        </w:rPr>
        <w:t>Implement</w:t>
      </w:r>
      <w:r w:rsidR="005F03AD">
        <w:rPr>
          <w:lang w:val="en-US"/>
        </w:rPr>
        <w:t>ation of</w:t>
      </w:r>
      <w:r w:rsidRPr="00514611">
        <w:rPr>
          <w:lang w:val="en-US"/>
        </w:rPr>
        <w:t xml:space="preserve"> a </w:t>
      </w:r>
      <w:r w:rsidRPr="00BB0CEC">
        <w:rPr>
          <w:lang w:val="en-US"/>
        </w:rPr>
        <w:t>3</w:t>
      </w:r>
      <w:r w:rsidR="004930D5">
        <w:rPr>
          <w:lang w:val="en-US"/>
        </w:rPr>
        <w:t xml:space="preserve"> </w:t>
      </w:r>
      <w:r w:rsidR="00DB1B51">
        <w:rPr>
          <w:lang w:val="en-US"/>
        </w:rPr>
        <w:t>T</w:t>
      </w:r>
      <w:r w:rsidRPr="00BB0CEC">
        <w:rPr>
          <w:lang w:val="en-US"/>
        </w:rPr>
        <w:t>ier level maintenance fees system</w:t>
      </w:r>
      <w:r w:rsidRPr="00514611">
        <w:rPr>
          <w:lang w:val="en-US"/>
        </w:rPr>
        <w:t>, with a decrease of maintenance fees after 5 years and a further decrease after 10 years</w:t>
      </w:r>
      <w:r w:rsidR="00C8786C">
        <w:rPr>
          <w:lang w:val="en-US"/>
        </w:rPr>
        <w:t xml:space="preserve"> to reflect the decreasing workload</w:t>
      </w:r>
      <w:r w:rsidR="004930D5">
        <w:rPr>
          <w:lang w:val="en-US"/>
        </w:rPr>
        <w:t>.</w:t>
      </w:r>
      <w:r w:rsidRPr="00514611">
        <w:rPr>
          <w:lang w:val="en-US"/>
        </w:rPr>
        <w:t xml:space="preserve"> </w:t>
      </w:r>
    </w:p>
    <w:p w14:paraId="587B2216" w14:textId="4FA5B0D8" w:rsidR="00226656" w:rsidRPr="00BB0CEC" w:rsidRDefault="005F03AD" w:rsidP="006604E6">
      <w:pPr>
        <w:numPr>
          <w:ilvl w:val="0"/>
          <w:numId w:val="12"/>
        </w:numPr>
        <w:spacing w:after="60"/>
        <w:jc w:val="both"/>
        <w:rPr>
          <w:lang w:val="en-US"/>
        </w:rPr>
      </w:pPr>
      <w:r>
        <w:rPr>
          <w:lang w:val="en-US"/>
        </w:rPr>
        <w:t>MA</w:t>
      </w:r>
      <w:r w:rsidR="00313149">
        <w:rPr>
          <w:lang w:val="en-US"/>
        </w:rPr>
        <w:t>A</w:t>
      </w:r>
      <w:r w:rsidR="00DF6957" w:rsidRPr="00514611">
        <w:rPr>
          <w:lang w:val="en-US"/>
        </w:rPr>
        <w:t>s</w:t>
      </w:r>
      <w:r>
        <w:rPr>
          <w:lang w:val="en-US"/>
        </w:rPr>
        <w:t xml:space="preserve"> </w:t>
      </w:r>
      <w:r w:rsidR="00313149">
        <w:rPr>
          <w:lang w:val="en-US"/>
        </w:rPr>
        <w:t xml:space="preserve">authorized as true duplicates </w:t>
      </w:r>
      <w:r>
        <w:rPr>
          <w:lang w:val="en-US"/>
        </w:rPr>
        <w:t>(identical Module 3, same indications)</w:t>
      </w:r>
      <w:r w:rsidR="00DF6957" w:rsidRPr="00514611">
        <w:rPr>
          <w:lang w:val="en-US"/>
        </w:rPr>
        <w:t xml:space="preserve"> </w:t>
      </w:r>
      <w:r>
        <w:rPr>
          <w:lang w:val="en-US"/>
        </w:rPr>
        <w:t xml:space="preserve">would be subject to the </w:t>
      </w:r>
      <w:r w:rsidR="00DF6957" w:rsidRPr="00514611">
        <w:rPr>
          <w:lang w:val="en-US"/>
        </w:rPr>
        <w:t xml:space="preserve">lower Tier III level maintenance fee throughout </w:t>
      </w:r>
      <w:r w:rsidR="00DF6957" w:rsidRPr="00B37704">
        <w:rPr>
          <w:color w:val="000000" w:themeColor="text1"/>
          <w:lang w:val="en-US"/>
        </w:rPr>
        <w:t xml:space="preserve">lifecycle </w:t>
      </w:r>
      <w:r w:rsidRPr="00B37704">
        <w:rPr>
          <w:color w:val="000000" w:themeColor="text1"/>
          <w:lang w:val="en-US"/>
        </w:rPr>
        <w:t>to</w:t>
      </w:r>
      <w:r>
        <w:rPr>
          <w:lang w:val="en-US"/>
        </w:rPr>
        <w:t xml:space="preserve"> reflect the fact that no additional scientific review is needed compared to the original MA.</w:t>
      </w:r>
      <w:r w:rsidR="00DF6957" w:rsidRPr="00514611">
        <w:rPr>
          <w:lang w:val="en-US"/>
        </w:rPr>
        <w:t xml:space="preserve"> </w:t>
      </w:r>
    </w:p>
    <w:p w14:paraId="06D7842E" w14:textId="6C5D6D53" w:rsidR="005F03AD" w:rsidRPr="00B37704" w:rsidRDefault="005F03AD" w:rsidP="00BB0CEC">
      <w:pPr>
        <w:numPr>
          <w:ilvl w:val="0"/>
          <w:numId w:val="12"/>
        </w:numPr>
        <w:jc w:val="both"/>
        <w:rPr>
          <w:color w:val="000000" w:themeColor="text1"/>
          <w:lang w:val="en-US"/>
        </w:rPr>
      </w:pPr>
      <w:r w:rsidRPr="00514611">
        <w:rPr>
          <w:lang w:val="en-US"/>
        </w:rPr>
        <w:lastRenderedPageBreak/>
        <w:t xml:space="preserve">The annual maintenance </w:t>
      </w:r>
      <w:proofErr w:type="gramStart"/>
      <w:r w:rsidRPr="00514611">
        <w:rPr>
          <w:lang w:val="en-US"/>
        </w:rPr>
        <w:t>fee</w:t>
      </w:r>
      <w:r w:rsidR="00E2165D">
        <w:rPr>
          <w:lang w:val="en-US"/>
        </w:rPr>
        <w:t xml:space="preserve"> </w:t>
      </w:r>
      <w:r w:rsidRPr="00514611">
        <w:rPr>
          <w:lang w:val="en-US"/>
        </w:rPr>
        <w:t>based</w:t>
      </w:r>
      <w:proofErr w:type="gramEnd"/>
      <w:r w:rsidRPr="00514611">
        <w:rPr>
          <w:lang w:val="en-US"/>
        </w:rPr>
        <w:t xml:space="preserve"> system should be applicable to </w:t>
      </w:r>
      <w:r w:rsidRPr="00514611">
        <w:rPr>
          <w:lang w:val="en-US"/>
        </w:rPr>
        <w:br/>
        <w:t>Orphan Medicinal Products</w:t>
      </w:r>
      <w:r w:rsidRPr="00B37704">
        <w:rPr>
          <w:color w:val="000000" w:themeColor="text1"/>
          <w:lang w:val="en-US"/>
        </w:rPr>
        <w:t>, C</w:t>
      </w:r>
      <w:r w:rsidR="004930D5" w:rsidRPr="00B37704">
        <w:rPr>
          <w:color w:val="000000" w:themeColor="text1"/>
          <w:lang w:val="en-US"/>
        </w:rPr>
        <w:t xml:space="preserve">onditional </w:t>
      </w:r>
      <w:r w:rsidRPr="00B37704">
        <w:rPr>
          <w:color w:val="000000" w:themeColor="text1"/>
          <w:lang w:val="en-US"/>
        </w:rPr>
        <w:t xml:space="preserve">MAs and </w:t>
      </w:r>
      <w:proofErr w:type="spellStart"/>
      <w:r w:rsidRPr="00B37704">
        <w:rPr>
          <w:color w:val="000000" w:themeColor="text1"/>
          <w:lang w:val="en-US"/>
        </w:rPr>
        <w:t>Authorisations</w:t>
      </w:r>
      <w:proofErr w:type="spellEnd"/>
      <w:r w:rsidRPr="00B37704">
        <w:rPr>
          <w:color w:val="000000" w:themeColor="text1"/>
          <w:lang w:val="en-US"/>
        </w:rPr>
        <w:t xml:space="preserve"> under Exceptional circumstances </w:t>
      </w:r>
      <w:r w:rsidR="00DF6957" w:rsidRPr="00B37704">
        <w:rPr>
          <w:color w:val="000000" w:themeColor="text1"/>
          <w:lang w:val="en-US"/>
        </w:rPr>
        <w:t>since they require similar levels of maintenance activities as other MAs</w:t>
      </w:r>
      <w:r w:rsidRPr="00B37704">
        <w:rPr>
          <w:color w:val="000000" w:themeColor="text1"/>
          <w:lang w:val="en-US"/>
        </w:rPr>
        <w:t xml:space="preserve">. </w:t>
      </w:r>
    </w:p>
    <w:p w14:paraId="14F6988E" w14:textId="77777777" w:rsidR="00C8786C" w:rsidRDefault="00C8786C" w:rsidP="00C8786C">
      <w:pPr>
        <w:jc w:val="both"/>
        <w:rPr>
          <w:lang w:val="en-US"/>
        </w:rPr>
      </w:pPr>
    </w:p>
    <w:p w14:paraId="534729C5" w14:textId="77777777" w:rsidR="00C8786C" w:rsidRPr="00C8786C" w:rsidRDefault="00C8786C" w:rsidP="00C8786C">
      <w:pPr>
        <w:jc w:val="both"/>
      </w:pPr>
      <w:r w:rsidRPr="00C8786C">
        <w:t xml:space="preserve">The level of the </w:t>
      </w:r>
      <w:r w:rsidR="00DF6957" w:rsidRPr="00C8786C">
        <w:t>maintenance</w:t>
      </w:r>
      <w:r w:rsidRPr="00C8786C">
        <w:t xml:space="preserve"> fee per MA would </w:t>
      </w:r>
      <w:r>
        <w:t xml:space="preserve">be set to ensure introduction </w:t>
      </w:r>
      <w:r w:rsidR="00DF6957">
        <w:t xml:space="preserve">of the new fee system </w:t>
      </w:r>
      <w:r>
        <w:t xml:space="preserve">would be cost-neutral </w:t>
      </w:r>
      <w:r w:rsidR="00DF6957">
        <w:t xml:space="preserve">to EMA </w:t>
      </w:r>
      <w:r>
        <w:t>overall.</w:t>
      </w:r>
    </w:p>
    <w:p w14:paraId="6C1A4E85" w14:textId="77777777" w:rsidR="00C8786C" w:rsidRPr="00C8786C" w:rsidRDefault="00DB1B51" w:rsidP="00E2165D">
      <w:pPr>
        <w:pStyle w:val="ListParagraph"/>
        <w:numPr>
          <w:ilvl w:val="0"/>
          <w:numId w:val="15"/>
        </w:numPr>
        <w:spacing w:before="240"/>
        <w:ind w:left="357" w:hanging="357"/>
        <w:jc w:val="both"/>
        <w:rPr>
          <w:b/>
        </w:rPr>
      </w:pPr>
      <w:r>
        <w:rPr>
          <w:b/>
        </w:rPr>
        <w:t>Other C</w:t>
      </w:r>
      <w:r w:rsidR="00C8786C">
        <w:rPr>
          <w:b/>
        </w:rPr>
        <w:t xml:space="preserve">hanges to </w:t>
      </w:r>
      <w:r>
        <w:rPr>
          <w:b/>
        </w:rPr>
        <w:t>Current Fee S</w:t>
      </w:r>
      <w:r w:rsidR="00B37704">
        <w:rPr>
          <w:b/>
        </w:rPr>
        <w:t xml:space="preserve">ystem for </w:t>
      </w:r>
      <w:r w:rsidR="00C8786C">
        <w:rPr>
          <w:b/>
        </w:rPr>
        <w:t>Type II Variations</w:t>
      </w:r>
    </w:p>
    <w:p w14:paraId="484329FE" w14:textId="77777777" w:rsidR="00C8786C" w:rsidRDefault="00C8786C" w:rsidP="00C8786C">
      <w:pPr>
        <w:jc w:val="both"/>
        <w:rPr>
          <w:lang w:val="en-US"/>
        </w:rPr>
      </w:pPr>
      <w:r>
        <w:t>There are some unintended anomalies in the way in which the current fee system is applied which means that for some submissions, the level of fee charged is no longer proportional to the level of scientific review required. To address these anomalies the following are proposed:</w:t>
      </w:r>
      <w:r>
        <w:rPr>
          <w:lang w:val="en-US"/>
        </w:rPr>
        <w:t xml:space="preserve"> </w:t>
      </w:r>
    </w:p>
    <w:p w14:paraId="53AEE1D8" w14:textId="77777777" w:rsidR="00C8786C" w:rsidRDefault="00C8786C" w:rsidP="00C8786C">
      <w:pPr>
        <w:ind w:left="720"/>
        <w:jc w:val="both"/>
        <w:rPr>
          <w:lang w:val="en-US"/>
        </w:rPr>
      </w:pPr>
    </w:p>
    <w:p w14:paraId="771AFCDF" w14:textId="1B6C44BC" w:rsidR="00226656" w:rsidRPr="00B37704" w:rsidRDefault="005F03AD" w:rsidP="00C8786C">
      <w:pPr>
        <w:numPr>
          <w:ilvl w:val="0"/>
          <w:numId w:val="12"/>
        </w:numPr>
        <w:jc w:val="both"/>
        <w:rPr>
          <w:color w:val="000000" w:themeColor="text1"/>
          <w:lang w:val="en-US"/>
        </w:rPr>
      </w:pPr>
      <w:r w:rsidRPr="005F03AD">
        <w:rPr>
          <w:lang w:val="en-US"/>
        </w:rPr>
        <w:t xml:space="preserve">Differentiation between fee levels for different Type II </w:t>
      </w:r>
      <w:r w:rsidRPr="00B37704">
        <w:rPr>
          <w:color w:val="000000" w:themeColor="text1"/>
          <w:lang w:val="en-US"/>
        </w:rPr>
        <w:t xml:space="preserve">variations to reflect the level of scientific review required.  </w:t>
      </w:r>
      <w:r w:rsidR="00DF6957" w:rsidRPr="00B37704">
        <w:rPr>
          <w:color w:val="000000" w:themeColor="text1"/>
          <w:lang w:val="en-US"/>
        </w:rPr>
        <w:t xml:space="preserve">Lower fees </w:t>
      </w:r>
      <w:r w:rsidR="00E2165D" w:rsidRPr="00B37704">
        <w:rPr>
          <w:color w:val="000000" w:themeColor="text1"/>
          <w:lang w:val="en-US"/>
        </w:rPr>
        <w:t>may</w:t>
      </w:r>
      <w:r w:rsidR="00DF6957" w:rsidRPr="00B37704">
        <w:rPr>
          <w:color w:val="000000" w:themeColor="text1"/>
          <w:lang w:val="en-US"/>
        </w:rPr>
        <w:t xml:space="preserve"> be applicable for:</w:t>
      </w:r>
    </w:p>
    <w:p w14:paraId="6163FC4F" w14:textId="07C6AE41" w:rsidR="00226656" w:rsidRPr="00B37704" w:rsidRDefault="00B13938" w:rsidP="00CE1864">
      <w:pPr>
        <w:numPr>
          <w:ilvl w:val="1"/>
          <w:numId w:val="12"/>
        </w:numPr>
        <w:jc w:val="both"/>
        <w:rPr>
          <w:color w:val="000000" w:themeColor="text1"/>
          <w:lang w:val="en-US"/>
        </w:rPr>
      </w:pPr>
      <w:r w:rsidRPr="00B37704">
        <w:rPr>
          <w:color w:val="000000" w:themeColor="text1"/>
          <w:lang w:val="en-US"/>
        </w:rPr>
        <w:t xml:space="preserve">some </w:t>
      </w:r>
      <w:r w:rsidR="00E2165D" w:rsidRPr="00B37704">
        <w:rPr>
          <w:color w:val="000000" w:themeColor="text1"/>
          <w:lang w:val="en-US"/>
        </w:rPr>
        <w:t>post-</w:t>
      </w:r>
      <w:proofErr w:type="spellStart"/>
      <w:r w:rsidR="00E2165D" w:rsidRPr="00B37704">
        <w:rPr>
          <w:color w:val="000000" w:themeColor="text1"/>
          <w:lang w:val="en-US"/>
        </w:rPr>
        <w:t>authorisation</w:t>
      </w:r>
      <w:proofErr w:type="spellEnd"/>
      <w:r w:rsidR="00E2165D" w:rsidRPr="00B37704">
        <w:rPr>
          <w:color w:val="000000" w:themeColor="text1"/>
          <w:lang w:val="en-US"/>
        </w:rPr>
        <w:t xml:space="preserve"> measures (</w:t>
      </w:r>
      <w:r w:rsidR="00DF6957" w:rsidRPr="00B37704">
        <w:rPr>
          <w:color w:val="000000" w:themeColor="text1"/>
          <w:lang w:val="en-US"/>
        </w:rPr>
        <w:t>PAMs</w:t>
      </w:r>
      <w:r w:rsidR="00E2165D" w:rsidRPr="00B37704">
        <w:rPr>
          <w:color w:val="000000" w:themeColor="text1"/>
          <w:lang w:val="en-US"/>
        </w:rPr>
        <w:t>)</w:t>
      </w:r>
      <w:r w:rsidR="00DF6957" w:rsidRPr="00B37704">
        <w:rPr>
          <w:color w:val="000000" w:themeColor="text1"/>
          <w:lang w:val="en-US"/>
        </w:rPr>
        <w:t xml:space="preserve"> </w:t>
      </w:r>
      <w:r w:rsidR="009F2147" w:rsidRPr="00270692">
        <w:rPr>
          <w:color w:val="000000" w:themeColor="text1"/>
          <w:shd w:val="clear" w:color="auto" w:fill="FFFFFF" w:themeFill="background1"/>
          <w:lang w:val="en-US"/>
        </w:rPr>
        <w:t>(</w:t>
      </w:r>
      <w:r w:rsidR="00887FF3" w:rsidRPr="00270692">
        <w:rPr>
          <w:color w:val="000000" w:themeColor="text1"/>
          <w:shd w:val="clear" w:color="auto" w:fill="FFFFFF" w:themeFill="background1"/>
          <w:lang w:val="en-US"/>
        </w:rPr>
        <w:t xml:space="preserve">e.g. by </w:t>
      </w:r>
      <w:proofErr w:type="gramStart"/>
      <w:r w:rsidR="00887FF3" w:rsidRPr="00270692">
        <w:rPr>
          <w:color w:val="000000" w:themeColor="text1"/>
          <w:shd w:val="clear" w:color="auto" w:fill="FFFFFF" w:themeFill="background1"/>
          <w:lang w:val="en-US"/>
        </w:rPr>
        <w:t>taking into account</w:t>
      </w:r>
      <w:proofErr w:type="gramEnd"/>
      <w:r w:rsidR="00887FF3" w:rsidRPr="00270692">
        <w:rPr>
          <w:color w:val="000000" w:themeColor="text1"/>
          <w:shd w:val="clear" w:color="auto" w:fill="FFFFFF" w:themeFill="background1"/>
          <w:lang w:val="en-US"/>
        </w:rPr>
        <w:t xml:space="preserve"> the </w:t>
      </w:r>
      <w:r w:rsidR="009F2147" w:rsidRPr="00270692">
        <w:rPr>
          <w:color w:val="000000" w:themeColor="text1"/>
          <w:shd w:val="clear" w:color="auto" w:fill="FFFFFF" w:themeFill="background1"/>
          <w:lang w:val="en-US"/>
        </w:rPr>
        <w:t>volume of clinical data submitted)</w:t>
      </w:r>
      <w:r w:rsidR="00E2165D" w:rsidRPr="00B37704">
        <w:rPr>
          <w:color w:val="000000" w:themeColor="text1"/>
          <w:lang w:val="en-US"/>
        </w:rPr>
        <w:t>;</w:t>
      </w:r>
      <w:r w:rsidR="00DF6957" w:rsidRPr="00B37704">
        <w:rPr>
          <w:color w:val="000000" w:themeColor="text1"/>
          <w:lang w:val="en-US"/>
        </w:rPr>
        <w:t xml:space="preserve">  </w:t>
      </w:r>
    </w:p>
    <w:p w14:paraId="53D341EF" w14:textId="570F608E" w:rsidR="00226656" w:rsidRPr="00B37704" w:rsidRDefault="00DF6957" w:rsidP="00E2165D">
      <w:pPr>
        <w:numPr>
          <w:ilvl w:val="1"/>
          <w:numId w:val="12"/>
        </w:numPr>
        <w:spacing w:after="60"/>
        <w:ind w:left="1434" w:hanging="357"/>
        <w:jc w:val="both"/>
        <w:rPr>
          <w:color w:val="000000" w:themeColor="text1"/>
          <w:lang w:val="en-US"/>
        </w:rPr>
      </w:pPr>
      <w:r w:rsidRPr="00B37704">
        <w:rPr>
          <w:color w:val="000000" w:themeColor="text1"/>
          <w:lang w:val="en-US"/>
        </w:rPr>
        <w:t>adding a side effect (based on the level of scientific rev</w:t>
      </w:r>
      <w:r w:rsidR="00C02D80">
        <w:rPr>
          <w:color w:val="000000" w:themeColor="text1"/>
          <w:lang w:val="en-US"/>
        </w:rPr>
        <w:t>iew) to the product information</w:t>
      </w:r>
      <w:r w:rsidR="00C8786C" w:rsidRPr="00B37704">
        <w:rPr>
          <w:color w:val="000000" w:themeColor="text1"/>
          <w:lang w:val="en-US"/>
        </w:rPr>
        <w:t>.</w:t>
      </w:r>
    </w:p>
    <w:p w14:paraId="6A95427E" w14:textId="5C09EB68" w:rsidR="00226656" w:rsidRDefault="00E2165D" w:rsidP="00C8786C">
      <w:pPr>
        <w:numPr>
          <w:ilvl w:val="0"/>
          <w:numId w:val="12"/>
        </w:numPr>
        <w:jc w:val="both"/>
        <w:rPr>
          <w:lang w:val="en-US"/>
        </w:rPr>
      </w:pPr>
      <w:r>
        <w:rPr>
          <w:lang w:val="en-US"/>
        </w:rPr>
        <w:t>Updated version of Module 3.2.5</w:t>
      </w:r>
      <w:r w:rsidR="00DF6957" w:rsidRPr="005F03AD">
        <w:rPr>
          <w:lang w:val="en-US"/>
        </w:rPr>
        <w:t xml:space="preserve"> or the </w:t>
      </w:r>
      <w:r>
        <w:rPr>
          <w:lang w:val="en-US"/>
        </w:rPr>
        <w:t>Active Substance Master File (</w:t>
      </w:r>
      <w:r w:rsidR="00DF6957" w:rsidRPr="005F03AD">
        <w:rPr>
          <w:lang w:val="en-US"/>
        </w:rPr>
        <w:t>ASMF</w:t>
      </w:r>
      <w:r>
        <w:rPr>
          <w:lang w:val="en-US"/>
        </w:rPr>
        <w:t>)</w:t>
      </w:r>
      <w:r w:rsidR="00DF6957" w:rsidRPr="005F03AD">
        <w:rPr>
          <w:lang w:val="en-US"/>
        </w:rPr>
        <w:t xml:space="preserve"> to be submitted as a single Type II variation </w:t>
      </w:r>
      <w:r w:rsidR="00AB4E87">
        <w:rPr>
          <w:lang w:val="en-US"/>
        </w:rPr>
        <w:t xml:space="preserve">applicable to all medicinal products using that ASMF </w:t>
      </w:r>
      <w:r w:rsidR="00DF6957" w:rsidRPr="005F03AD">
        <w:rPr>
          <w:lang w:val="en-US"/>
        </w:rPr>
        <w:t xml:space="preserve">instead of </w:t>
      </w:r>
      <w:r w:rsidR="00C02D80">
        <w:rPr>
          <w:lang w:val="en-US"/>
        </w:rPr>
        <w:t>a grouped variation application</w:t>
      </w:r>
      <w:r w:rsidR="00C8786C">
        <w:rPr>
          <w:lang w:val="en-US"/>
        </w:rPr>
        <w:t>.</w:t>
      </w:r>
    </w:p>
    <w:p w14:paraId="7B24BF5A" w14:textId="77777777" w:rsidR="00C8786C" w:rsidRDefault="00C8786C" w:rsidP="00E2165D">
      <w:pPr>
        <w:pStyle w:val="ListParagraph"/>
        <w:numPr>
          <w:ilvl w:val="0"/>
          <w:numId w:val="15"/>
        </w:numPr>
        <w:spacing w:before="240"/>
        <w:ind w:left="357" w:hanging="357"/>
        <w:jc w:val="both"/>
        <w:rPr>
          <w:b/>
        </w:rPr>
      </w:pPr>
      <w:r w:rsidRPr="00E2165D">
        <w:rPr>
          <w:b/>
        </w:rPr>
        <w:t xml:space="preserve">Other </w:t>
      </w:r>
      <w:r w:rsidR="00DB1B51">
        <w:rPr>
          <w:b/>
        </w:rPr>
        <w:t>C</w:t>
      </w:r>
      <w:r>
        <w:rPr>
          <w:b/>
        </w:rPr>
        <w:t xml:space="preserve">hanges to </w:t>
      </w:r>
      <w:r w:rsidR="00DB1B51">
        <w:rPr>
          <w:b/>
        </w:rPr>
        <w:t>C</w:t>
      </w:r>
      <w:r>
        <w:rPr>
          <w:b/>
        </w:rPr>
        <w:t xml:space="preserve">urrent </w:t>
      </w:r>
      <w:r w:rsidR="00DB1B51">
        <w:rPr>
          <w:b/>
        </w:rPr>
        <w:t>S</w:t>
      </w:r>
      <w:r>
        <w:rPr>
          <w:b/>
        </w:rPr>
        <w:t>ystem</w:t>
      </w:r>
      <w:r w:rsidR="00DF6957">
        <w:rPr>
          <w:b/>
        </w:rPr>
        <w:t>,</w:t>
      </w:r>
      <w:r>
        <w:rPr>
          <w:b/>
        </w:rPr>
        <w:t xml:space="preserve"> if a</w:t>
      </w:r>
      <w:r w:rsidR="00E2165D">
        <w:rPr>
          <w:b/>
        </w:rPr>
        <w:t xml:space="preserve">n </w:t>
      </w:r>
      <w:r w:rsidR="00DB1B51">
        <w:rPr>
          <w:b/>
        </w:rPr>
        <w:t>E</w:t>
      </w:r>
      <w:r w:rsidR="00E2165D">
        <w:rPr>
          <w:b/>
        </w:rPr>
        <w:t xml:space="preserve">xpanded </w:t>
      </w:r>
      <w:r w:rsidR="00DB1B51">
        <w:rPr>
          <w:b/>
        </w:rPr>
        <w:t>Annual M</w:t>
      </w:r>
      <w:r>
        <w:rPr>
          <w:b/>
        </w:rPr>
        <w:t>aintenance fee cannot be adopted</w:t>
      </w:r>
    </w:p>
    <w:p w14:paraId="4BCDC8E5" w14:textId="77777777" w:rsidR="00C8786C" w:rsidRPr="00C8786C" w:rsidRDefault="00C8786C" w:rsidP="00C8786C">
      <w:pPr>
        <w:jc w:val="both"/>
      </w:pPr>
      <w:r w:rsidRPr="00C8786C">
        <w:t xml:space="preserve">If adoption of an </w:t>
      </w:r>
      <w:r w:rsidR="00E2165D">
        <w:t xml:space="preserve">expanded </w:t>
      </w:r>
      <w:r w:rsidRPr="00C8786C">
        <w:t>annual maintenance fee is not possible, then some additional modifications to the current system are needed to eliminate additional anomalies. These comprise</w:t>
      </w:r>
      <w:r>
        <w:t>:</w:t>
      </w:r>
    </w:p>
    <w:p w14:paraId="30A0D3EE" w14:textId="77777777" w:rsidR="005F03AD" w:rsidRPr="00C8786C" w:rsidRDefault="005F03AD" w:rsidP="00C8786C">
      <w:pPr>
        <w:ind w:left="720"/>
        <w:jc w:val="both"/>
      </w:pPr>
    </w:p>
    <w:p w14:paraId="24EF2A07" w14:textId="18F0337F" w:rsidR="00226656" w:rsidRDefault="00DF6957" w:rsidP="00E2165D">
      <w:pPr>
        <w:numPr>
          <w:ilvl w:val="0"/>
          <w:numId w:val="12"/>
        </w:numPr>
        <w:spacing w:after="60"/>
        <w:ind w:left="714" w:hanging="357"/>
        <w:jc w:val="both"/>
        <w:rPr>
          <w:lang w:val="en-US"/>
        </w:rPr>
      </w:pPr>
      <w:r>
        <w:rPr>
          <w:lang w:val="en-US"/>
        </w:rPr>
        <w:t xml:space="preserve">The need for </w:t>
      </w:r>
      <w:r w:rsidR="00C8786C">
        <w:rPr>
          <w:lang w:val="en-US"/>
        </w:rPr>
        <w:t xml:space="preserve">a </w:t>
      </w:r>
      <w:r w:rsidRPr="005F03AD">
        <w:rPr>
          <w:lang w:val="en-US"/>
        </w:rPr>
        <w:t xml:space="preserve">“bulk transfer fee” covering bulk </w:t>
      </w:r>
      <w:r w:rsidR="00E2165D">
        <w:rPr>
          <w:lang w:val="en-US"/>
        </w:rPr>
        <w:t>changes of C</w:t>
      </w:r>
      <w:r>
        <w:rPr>
          <w:lang w:val="en-US"/>
        </w:rPr>
        <w:t xml:space="preserve">ompany name or administrative address </w:t>
      </w:r>
      <w:r w:rsidRPr="005F03AD">
        <w:rPr>
          <w:lang w:val="en-US"/>
        </w:rPr>
        <w:t xml:space="preserve">following a merger </w:t>
      </w:r>
      <w:r>
        <w:rPr>
          <w:lang w:val="en-US"/>
        </w:rPr>
        <w:t xml:space="preserve">or other corporate change </w:t>
      </w:r>
      <w:r w:rsidR="00C02D80">
        <w:rPr>
          <w:lang w:val="en-US"/>
        </w:rPr>
        <w:t>applying across a MAH portfolio</w:t>
      </w:r>
      <w:r w:rsidR="00C8786C">
        <w:rPr>
          <w:lang w:val="en-US"/>
        </w:rPr>
        <w:t>.</w:t>
      </w:r>
      <w:r>
        <w:rPr>
          <w:lang w:val="en-US"/>
        </w:rPr>
        <w:t xml:space="preserve"> Such a fee category would </w:t>
      </w:r>
      <w:r w:rsidR="00313149">
        <w:rPr>
          <w:lang w:val="en-US"/>
        </w:rPr>
        <w:t>reduce the invoicing and payment burden associated with</w:t>
      </w:r>
      <w:r w:rsidR="00FB7F9B">
        <w:rPr>
          <w:lang w:val="en-US"/>
        </w:rPr>
        <w:t xml:space="preserve"> </w:t>
      </w:r>
      <w:r>
        <w:rPr>
          <w:lang w:val="en-US"/>
        </w:rPr>
        <w:t xml:space="preserve">the hundreds of virtually identical </w:t>
      </w:r>
      <w:r w:rsidR="00313149">
        <w:rPr>
          <w:lang w:val="en-US"/>
        </w:rPr>
        <w:t>purely administrative submissions</w:t>
      </w:r>
      <w:r w:rsidR="00FB7F9B">
        <w:rPr>
          <w:lang w:val="en-US"/>
        </w:rPr>
        <w:t xml:space="preserve"> </w:t>
      </w:r>
      <w:r>
        <w:rPr>
          <w:lang w:val="en-US"/>
        </w:rPr>
        <w:t xml:space="preserve">needed when companies are involved in such changes. </w:t>
      </w:r>
    </w:p>
    <w:p w14:paraId="062C1CD9" w14:textId="677BB281" w:rsidR="00814272" w:rsidRDefault="00DF6957" w:rsidP="00E2165D">
      <w:pPr>
        <w:numPr>
          <w:ilvl w:val="0"/>
          <w:numId w:val="12"/>
        </w:numPr>
        <w:spacing w:after="60"/>
        <w:ind w:left="714" w:hanging="357"/>
        <w:jc w:val="both"/>
      </w:pPr>
      <w:r w:rsidRPr="00E2165D">
        <w:rPr>
          <w:lang w:val="en-US"/>
        </w:rPr>
        <w:t xml:space="preserve">The need for </w:t>
      </w:r>
      <w:r w:rsidR="00C8786C" w:rsidRPr="00E2165D">
        <w:rPr>
          <w:lang w:val="en-US"/>
        </w:rPr>
        <w:t xml:space="preserve">a </w:t>
      </w:r>
      <w:r w:rsidRPr="00E2165D">
        <w:rPr>
          <w:lang w:val="en-US"/>
        </w:rPr>
        <w:t xml:space="preserve">cap </w:t>
      </w:r>
      <w:r w:rsidR="00C8786C" w:rsidRPr="00E2165D">
        <w:rPr>
          <w:lang w:val="en-US"/>
        </w:rPr>
        <w:t xml:space="preserve">on the level </w:t>
      </w:r>
      <w:r w:rsidRPr="00E2165D">
        <w:rPr>
          <w:lang w:val="en-US"/>
        </w:rPr>
        <w:t xml:space="preserve">of fees </w:t>
      </w:r>
      <w:r w:rsidR="00C8786C" w:rsidRPr="00E2165D">
        <w:rPr>
          <w:lang w:val="en-US"/>
        </w:rPr>
        <w:t xml:space="preserve">that can be charged </w:t>
      </w:r>
      <w:r w:rsidRPr="00E2165D">
        <w:rPr>
          <w:lang w:val="en-US"/>
        </w:rPr>
        <w:t xml:space="preserve">for grouping of Type </w:t>
      </w:r>
      <w:r w:rsidR="006F15F9">
        <w:rPr>
          <w:lang w:val="en-US"/>
        </w:rPr>
        <w:t>I</w:t>
      </w:r>
      <w:r w:rsidRPr="00E2165D">
        <w:rPr>
          <w:lang w:val="en-US"/>
        </w:rPr>
        <w:t>A/</w:t>
      </w:r>
      <w:r w:rsidR="006F15F9">
        <w:rPr>
          <w:lang w:val="en-US"/>
        </w:rPr>
        <w:t>I</w:t>
      </w:r>
      <w:r w:rsidRPr="00E2165D">
        <w:rPr>
          <w:lang w:val="en-US"/>
        </w:rPr>
        <w:t xml:space="preserve">B </w:t>
      </w:r>
      <w:r w:rsidR="00E2165D" w:rsidRPr="00E2165D">
        <w:rPr>
          <w:lang w:val="en-US"/>
        </w:rPr>
        <w:t xml:space="preserve">so that fees do </w:t>
      </w:r>
      <w:r w:rsidRPr="00E2165D">
        <w:rPr>
          <w:lang w:val="en-US"/>
        </w:rPr>
        <w:t xml:space="preserve">not exceed the fee for a single Type II variation. </w:t>
      </w:r>
    </w:p>
    <w:p w14:paraId="655B5D30" w14:textId="77777777" w:rsidR="00DF6957" w:rsidRDefault="00DF6957" w:rsidP="00887FF3">
      <w:pPr>
        <w:autoSpaceDE w:val="0"/>
        <w:autoSpaceDN w:val="0"/>
        <w:adjustRightInd w:val="0"/>
        <w:spacing w:before="240" w:after="120"/>
        <w:jc w:val="both"/>
        <w:rPr>
          <w:rFonts w:cstheme="minorHAnsi"/>
          <w:b/>
          <w:color w:val="9BBB59" w:themeColor="accent3"/>
          <w:sz w:val="24"/>
        </w:rPr>
      </w:pPr>
      <w:r w:rsidRPr="00DF6957">
        <w:rPr>
          <w:rFonts w:cstheme="minorHAnsi"/>
          <w:b/>
          <w:color w:val="9BBB59" w:themeColor="accent3"/>
          <w:sz w:val="24"/>
        </w:rPr>
        <w:t>Conclusions:</w:t>
      </w:r>
    </w:p>
    <w:p w14:paraId="7D12E8A7" w14:textId="77777777" w:rsidR="00C8786C" w:rsidRDefault="00C8786C" w:rsidP="00C8786C">
      <w:pPr>
        <w:autoSpaceDE w:val="0"/>
        <w:autoSpaceDN w:val="0"/>
        <w:adjustRightInd w:val="0"/>
        <w:spacing w:after="120"/>
        <w:jc w:val="both"/>
        <w:rPr>
          <w:rFonts w:cstheme="minorHAnsi"/>
        </w:rPr>
      </w:pPr>
      <w:r w:rsidRPr="004E43A6">
        <w:rPr>
          <w:rFonts w:cstheme="minorHAnsi"/>
        </w:rPr>
        <w:t xml:space="preserve">EFPIA considers that adequate funding of EMA and NCAs is essential to support the effective operation of the </w:t>
      </w:r>
      <w:r>
        <w:rPr>
          <w:rFonts w:cstheme="minorHAnsi"/>
        </w:rPr>
        <w:t xml:space="preserve">European Medicines </w:t>
      </w:r>
      <w:r w:rsidR="00313149">
        <w:rPr>
          <w:rFonts w:cstheme="minorHAnsi"/>
        </w:rPr>
        <w:t xml:space="preserve">Regulatory </w:t>
      </w:r>
      <w:r>
        <w:rPr>
          <w:rFonts w:cstheme="minorHAnsi"/>
        </w:rPr>
        <w:t>N</w:t>
      </w:r>
      <w:r w:rsidRPr="004E43A6">
        <w:rPr>
          <w:rFonts w:cstheme="minorHAnsi"/>
        </w:rPr>
        <w:t xml:space="preserve">etwork and to ensure public health. As such, EFPIA welcomes the ongoing </w:t>
      </w:r>
      <w:r w:rsidRPr="004E43A6">
        <w:rPr>
          <w:rFonts w:cs="Times New Roman"/>
        </w:rPr>
        <w:t>evaluation of the current EMA fees system</w:t>
      </w:r>
      <w:r>
        <w:rPr>
          <w:rFonts w:cs="Times New Roman"/>
        </w:rPr>
        <w:t>.</w:t>
      </w:r>
    </w:p>
    <w:p w14:paraId="59745649" w14:textId="4D27B1C4" w:rsidR="00C8786C" w:rsidRDefault="00C8786C" w:rsidP="00C8786C">
      <w:pPr>
        <w:autoSpaceDE w:val="0"/>
        <w:autoSpaceDN w:val="0"/>
        <w:adjustRightInd w:val="0"/>
        <w:spacing w:after="120"/>
        <w:jc w:val="both"/>
        <w:rPr>
          <w:rFonts w:cstheme="minorHAnsi"/>
        </w:rPr>
      </w:pPr>
      <w:r>
        <w:rPr>
          <w:rFonts w:cs="Times New Roman"/>
        </w:rPr>
        <w:t>Overall, EFPI</w:t>
      </w:r>
      <w:r w:rsidR="00E2165D">
        <w:rPr>
          <w:rFonts w:cs="Times New Roman"/>
        </w:rPr>
        <w:t>A would support changes to the f</w:t>
      </w:r>
      <w:r>
        <w:rPr>
          <w:rFonts w:cs="Times New Roman"/>
        </w:rPr>
        <w:t xml:space="preserve">ees system that would result in a fairer, more transparent system that is sustainable, simple </w:t>
      </w:r>
      <w:r w:rsidR="00887FF3">
        <w:rPr>
          <w:rFonts w:cs="Times New Roman"/>
        </w:rPr>
        <w:t>and flexible</w:t>
      </w:r>
      <w:r>
        <w:rPr>
          <w:rFonts w:cs="Times New Roman"/>
        </w:rPr>
        <w:t xml:space="preserve"> that would be cost-neutral overall </w:t>
      </w:r>
      <w:r w:rsidR="00313149">
        <w:rPr>
          <w:rFonts w:cs="Times New Roman"/>
        </w:rPr>
        <w:t xml:space="preserve">to companies for the same volume of </w:t>
      </w:r>
      <w:r w:rsidR="00887FF3">
        <w:rPr>
          <w:rFonts w:cs="Times New Roman"/>
        </w:rPr>
        <w:t>submissions</w:t>
      </w:r>
      <w:r w:rsidR="00313149">
        <w:rPr>
          <w:rFonts w:cs="Times New Roman"/>
        </w:rPr>
        <w:t xml:space="preserve">, and </w:t>
      </w:r>
      <w:r>
        <w:rPr>
          <w:rFonts w:cs="Times New Roman"/>
        </w:rPr>
        <w:t>provide EMA with the same income as the current system</w:t>
      </w:r>
      <w:r w:rsidR="00313149">
        <w:rPr>
          <w:rFonts w:cs="Times New Roman"/>
        </w:rPr>
        <w:t xml:space="preserve"> for the same volume of assessment work</w:t>
      </w:r>
      <w:r w:rsidRPr="004E43A6">
        <w:rPr>
          <w:rFonts w:cstheme="minorHAnsi"/>
        </w:rPr>
        <w:t xml:space="preserve">. </w:t>
      </w:r>
    </w:p>
    <w:p w14:paraId="3DEA3C66" w14:textId="77777777" w:rsidR="00C02D80" w:rsidRDefault="00C02D80" w:rsidP="00C02D80">
      <w:pPr>
        <w:autoSpaceDE w:val="0"/>
        <w:autoSpaceDN w:val="0"/>
        <w:adjustRightInd w:val="0"/>
        <w:spacing w:after="120"/>
        <w:jc w:val="both"/>
        <w:rPr>
          <w:rFonts w:cs="Times New Roman"/>
        </w:rPr>
      </w:pPr>
      <w:r w:rsidRPr="00C02D80">
        <w:rPr>
          <w:rFonts w:ascii="Calibri" w:hAnsi="Calibri" w:cs="Calibri"/>
          <w:color w:val="000000" w:themeColor="text1"/>
        </w:rPr>
        <w:t>The regulatory system resource savings from EFPIA’s proposal could then be redirected to essential initiatives such as implementation of the EMA’s Regulatory Science Strategy to 2025.</w:t>
      </w:r>
    </w:p>
    <w:p w14:paraId="5F1F2607" w14:textId="77777777" w:rsidR="00DB1B51" w:rsidRDefault="00DF6957" w:rsidP="00DF6957">
      <w:pPr>
        <w:autoSpaceDE w:val="0"/>
        <w:autoSpaceDN w:val="0"/>
        <w:adjustRightInd w:val="0"/>
        <w:spacing w:after="120"/>
        <w:jc w:val="both"/>
        <w:rPr>
          <w:rFonts w:cstheme="minorHAnsi"/>
        </w:rPr>
      </w:pPr>
      <w:r>
        <w:rPr>
          <w:rFonts w:cstheme="minorHAnsi"/>
        </w:rPr>
        <w:t xml:space="preserve">A key way to achieve this would be to introduce an </w:t>
      </w:r>
      <w:r w:rsidR="00E2165D">
        <w:rPr>
          <w:rFonts w:cstheme="minorHAnsi"/>
        </w:rPr>
        <w:t xml:space="preserve">expanded </w:t>
      </w:r>
      <w:r>
        <w:rPr>
          <w:rFonts w:cstheme="minorHAnsi"/>
        </w:rPr>
        <w:t xml:space="preserve">annual maintenance fee </w:t>
      </w:r>
      <w:r w:rsidR="00E2165D">
        <w:rPr>
          <w:rFonts w:cstheme="minorHAnsi"/>
        </w:rPr>
        <w:t xml:space="preserve">that includes </w:t>
      </w:r>
      <w:r w:rsidR="00E2165D" w:rsidRPr="00270692">
        <w:rPr>
          <w:rFonts w:cstheme="minorHAnsi"/>
        </w:rPr>
        <w:t>all</w:t>
      </w:r>
      <w:r w:rsidRPr="00270692">
        <w:rPr>
          <w:rFonts w:cstheme="minorHAnsi"/>
        </w:rPr>
        <w:t xml:space="preserve"> Type IA</w:t>
      </w:r>
      <w:r w:rsidR="00DB1B51" w:rsidRPr="00270692">
        <w:rPr>
          <w:rFonts w:cstheme="minorHAnsi"/>
        </w:rPr>
        <w:t>/IB</w:t>
      </w:r>
      <w:r w:rsidRPr="00270692">
        <w:rPr>
          <w:rFonts w:cstheme="minorHAnsi"/>
        </w:rPr>
        <w:t xml:space="preserve"> variations </w:t>
      </w:r>
      <w:r w:rsidR="00887FF3" w:rsidRPr="00270692">
        <w:rPr>
          <w:rFonts w:cstheme="minorHAnsi"/>
        </w:rPr>
        <w:t>together with</w:t>
      </w:r>
      <w:r w:rsidRPr="00270692">
        <w:rPr>
          <w:rFonts w:cstheme="minorHAnsi"/>
        </w:rPr>
        <w:t xml:space="preserve"> </w:t>
      </w:r>
      <w:r w:rsidR="00E2165D" w:rsidRPr="00270692">
        <w:rPr>
          <w:rFonts w:cstheme="minorHAnsi"/>
        </w:rPr>
        <w:t xml:space="preserve">additional </w:t>
      </w:r>
      <w:r w:rsidRPr="00270692">
        <w:rPr>
          <w:rFonts w:cstheme="minorHAnsi"/>
        </w:rPr>
        <w:t xml:space="preserve">changes to the rest of the fee structure to remove </w:t>
      </w:r>
      <w:r w:rsidR="00887FF3" w:rsidRPr="00270692">
        <w:rPr>
          <w:rFonts w:cstheme="minorHAnsi"/>
        </w:rPr>
        <w:t xml:space="preserve">a number of </w:t>
      </w:r>
      <w:r w:rsidRPr="00270692">
        <w:rPr>
          <w:rFonts w:cstheme="minorHAnsi"/>
        </w:rPr>
        <w:t>anomalies that</w:t>
      </w:r>
      <w:r>
        <w:rPr>
          <w:rFonts w:cstheme="minorHAnsi"/>
        </w:rPr>
        <w:t xml:space="preserve"> have developed over time</w:t>
      </w:r>
      <w:r w:rsidRPr="00DF6957">
        <w:rPr>
          <w:rFonts w:cstheme="minorHAnsi"/>
        </w:rPr>
        <w:t>.</w:t>
      </w:r>
    </w:p>
    <w:sectPr w:rsidR="00DB1B51" w:rsidSect="00AF60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F6AAE" w14:textId="77777777" w:rsidR="007309C6" w:rsidRDefault="007309C6" w:rsidP="0077495E">
      <w:r>
        <w:separator/>
      </w:r>
    </w:p>
  </w:endnote>
  <w:endnote w:type="continuationSeparator" w:id="0">
    <w:p w14:paraId="1E047389" w14:textId="77777777" w:rsidR="007309C6" w:rsidRDefault="007309C6" w:rsidP="0077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323171"/>
      <w:docPartObj>
        <w:docPartGallery w:val="Page Numbers (Bottom of Page)"/>
        <w:docPartUnique/>
      </w:docPartObj>
    </w:sdtPr>
    <w:sdtEndPr>
      <w:rPr>
        <w:noProof/>
      </w:rPr>
    </w:sdtEndPr>
    <w:sdtContent>
      <w:p w14:paraId="2F9E4243" w14:textId="5995E586" w:rsidR="0077495E" w:rsidRDefault="0077495E">
        <w:pPr>
          <w:pStyle w:val="Footer"/>
          <w:jc w:val="right"/>
        </w:pPr>
        <w:r>
          <w:fldChar w:fldCharType="begin"/>
        </w:r>
        <w:r>
          <w:instrText xml:space="preserve"> PAGE   \* MERGEFORMAT </w:instrText>
        </w:r>
        <w:r>
          <w:fldChar w:fldCharType="separate"/>
        </w:r>
        <w:r w:rsidR="00C02D80">
          <w:rPr>
            <w:noProof/>
          </w:rPr>
          <w:t>3</w:t>
        </w:r>
        <w:r>
          <w:rPr>
            <w:noProof/>
          </w:rPr>
          <w:fldChar w:fldCharType="end"/>
        </w:r>
      </w:p>
    </w:sdtContent>
  </w:sdt>
  <w:p w14:paraId="6560D470" w14:textId="77777777" w:rsidR="0077495E" w:rsidRDefault="0077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DF5A5" w14:textId="77777777" w:rsidR="007309C6" w:rsidRDefault="007309C6" w:rsidP="0077495E">
      <w:r>
        <w:separator/>
      </w:r>
    </w:p>
  </w:footnote>
  <w:footnote w:type="continuationSeparator" w:id="0">
    <w:p w14:paraId="532B7130" w14:textId="77777777" w:rsidR="007309C6" w:rsidRDefault="007309C6" w:rsidP="0077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65pt;height:20.3pt" o:bullet="t">
        <v:imagedata r:id="rId1" o:title="artFE03"/>
      </v:shape>
    </w:pict>
  </w:numPicBullet>
  <w:numPicBullet w:numPicBulletId="1">
    <w:pict>
      <v:shape id="_x0000_i1029" type="#_x0000_t75" style="width:58.9pt;height:60.2pt" o:bullet="t">
        <v:imagedata r:id="rId2" o:title="artFE15"/>
      </v:shape>
    </w:pict>
  </w:numPicBullet>
  <w:abstractNum w:abstractNumId="0" w15:restartNumberingAfterBreak="0">
    <w:nsid w:val="048D56E7"/>
    <w:multiLevelType w:val="hybridMultilevel"/>
    <w:tmpl w:val="490E2FE4"/>
    <w:lvl w:ilvl="0" w:tplc="B852AB9C">
      <w:start w:val="1"/>
      <w:numFmt w:val="bullet"/>
      <w:lvlText w:val=""/>
      <w:lvlPicBulletId w:val="0"/>
      <w:lvlJc w:val="left"/>
      <w:pPr>
        <w:tabs>
          <w:tab w:val="num" w:pos="720"/>
        </w:tabs>
        <w:ind w:left="720" w:hanging="360"/>
      </w:pPr>
      <w:rPr>
        <w:rFonts w:ascii="Symbol" w:hAnsi="Symbol" w:hint="default"/>
      </w:rPr>
    </w:lvl>
    <w:lvl w:ilvl="1" w:tplc="EEA82B04" w:tentative="1">
      <w:start w:val="1"/>
      <w:numFmt w:val="bullet"/>
      <w:lvlText w:val=""/>
      <w:lvlPicBulletId w:val="0"/>
      <w:lvlJc w:val="left"/>
      <w:pPr>
        <w:tabs>
          <w:tab w:val="num" w:pos="1440"/>
        </w:tabs>
        <w:ind w:left="1440" w:hanging="360"/>
      </w:pPr>
      <w:rPr>
        <w:rFonts w:ascii="Symbol" w:hAnsi="Symbol" w:hint="default"/>
      </w:rPr>
    </w:lvl>
    <w:lvl w:ilvl="2" w:tplc="B56EC85A" w:tentative="1">
      <w:start w:val="1"/>
      <w:numFmt w:val="bullet"/>
      <w:lvlText w:val=""/>
      <w:lvlPicBulletId w:val="0"/>
      <w:lvlJc w:val="left"/>
      <w:pPr>
        <w:tabs>
          <w:tab w:val="num" w:pos="2160"/>
        </w:tabs>
        <w:ind w:left="2160" w:hanging="360"/>
      </w:pPr>
      <w:rPr>
        <w:rFonts w:ascii="Symbol" w:hAnsi="Symbol" w:hint="default"/>
      </w:rPr>
    </w:lvl>
    <w:lvl w:ilvl="3" w:tplc="B7FA840A" w:tentative="1">
      <w:start w:val="1"/>
      <w:numFmt w:val="bullet"/>
      <w:lvlText w:val=""/>
      <w:lvlPicBulletId w:val="0"/>
      <w:lvlJc w:val="left"/>
      <w:pPr>
        <w:tabs>
          <w:tab w:val="num" w:pos="2880"/>
        </w:tabs>
        <w:ind w:left="2880" w:hanging="360"/>
      </w:pPr>
      <w:rPr>
        <w:rFonts w:ascii="Symbol" w:hAnsi="Symbol" w:hint="default"/>
      </w:rPr>
    </w:lvl>
    <w:lvl w:ilvl="4" w:tplc="FDB0FCBA" w:tentative="1">
      <w:start w:val="1"/>
      <w:numFmt w:val="bullet"/>
      <w:lvlText w:val=""/>
      <w:lvlPicBulletId w:val="0"/>
      <w:lvlJc w:val="left"/>
      <w:pPr>
        <w:tabs>
          <w:tab w:val="num" w:pos="3600"/>
        </w:tabs>
        <w:ind w:left="3600" w:hanging="360"/>
      </w:pPr>
      <w:rPr>
        <w:rFonts w:ascii="Symbol" w:hAnsi="Symbol" w:hint="default"/>
      </w:rPr>
    </w:lvl>
    <w:lvl w:ilvl="5" w:tplc="13F60276" w:tentative="1">
      <w:start w:val="1"/>
      <w:numFmt w:val="bullet"/>
      <w:lvlText w:val=""/>
      <w:lvlPicBulletId w:val="0"/>
      <w:lvlJc w:val="left"/>
      <w:pPr>
        <w:tabs>
          <w:tab w:val="num" w:pos="4320"/>
        </w:tabs>
        <w:ind w:left="4320" w:hanging="360"/>
      </w:pPr>
      <w:rPr>
        <w:rFonts w:ascii="Symbol" w:hAnsi="Symbol" w:hint="default"/>
      </w:rPr>
    </w:lvl>
    <w:lvl w:ilvl="6" w:tplc="E0022C36" w:tentative="1">
      <w:start w:val="1"/>
      <w:numFmt w:val="bullet"/>
      <w:lvlText w:val=""/>
      <w:lvlPicBulletId w:val="0"/>
      <w:lvlJc w:val="left"/>
      <w:pPr>
        <w:tabs>
          <w:tab w:val="num" w:pos="5040"/>
        </w:tabs>
        <w:ind w:left="5040" w:hanging="360"/>
      </w:pPr>
      <w:rPr>
        <w:rFonts w:ascii="Symbol" w:hAnsi="Symbol" w:hint="default"/>
      </w:rPr>
    </w:lvl>
    <w:lvl w:ilvl="7" w:tplc="57389B76" w:tentative="1">
      <w:start w:val="1"/>
      <w:numFmt w:val="bullet"/>
      <w:lvlText w:val=""/>
      <w:lvlPicBulletId w:val="0"/>
      <w:lvlJc w:val="left"/>
      <w:pPr>
        <w:tabs>
          <w:tab w:val="num" w:pos="5760"/>
        </w:tabs>
        <w:ind w:left="5760" w:hanging="360"/>
      </w:pPr>
      <w:rPr>
        <w:rFonts w:ascii="Symbol" w:hAnsi="Symbol" w:hint="default"/>
      </w:rPr>
    </w:lvl>
    <w:lvl w:ilvl="8" w:tplc="AAB8EC56"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6D83083"/>
    <w:multiLevelType w:val="hybridMultilevel"/>
    <w:tmpl w:val="DB60925E"/>
    <w:lvl w:ilvl="0" w:tplc="05E6AD16">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D937A33"/>
    <w:multiLevelType w:val="hybridMultilevel"/>
    <w:tmpl w:val="B674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7A93"/>
    <w:multiLevelType w:val="hybridMultilevel"/>
    <w:tmpl w:val="64CA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B5828"/>
    <w:multiLevelType w:val="hybridMultilevel"/>
    <w:tmpl w:val="8712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B4371"/>
    <w:multiLevelType w:val="hybridMultilevel"/>
    <w:tmpl w:val="039E29D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7017822"/>
    <w:multiLevelType w:val="hybridMultilevel"/>
    <w:tmpl w:val="8C46EDE2"/>
    <w:lvl w:ilvl="0" w:tplc="A2146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84A40"/>
    <w:multiLevelType w:val="hybridMultilevel"/>
    <w:tmpl w:val="98A460CE"/>
    <w:lvl w:ilvl="0" w:tplc="22E63672">
      <w:start w:val="1"/>
      <w:numFmt w:val="bullet"/>
      <w:lvlText w:val=""/>
      <w:lvlPicBulletId w:val="0"/>
      <w:lvlJc w:val="left"/>
      <w:pPr>
        <w:tabs>
          <w:tab w:val="num" w:pos="1080"/>
        </w:tabs>
        <w:ind w:left="1080" w:hanging="360"/>
      </w:pPr>
      <w:rPr>
        <w:rFonts w:ascii="Symbol" w:hAnsi="Symbol" w:hint="default"/>
      </w:rPr>
    </w:lvl>
    <w:lvl w:ilvl="1" w:tplc="2EEEC1EE">
      <w:start w:val="859"/>
      <w:numFmt w:val="bullet"/>
      <w:lvlText w:val=""/>
      <w:lvlPicBulletId w:val="1"/>
      <w:lvlJc w:val="left"/>
      <w:pPr>
        <w:tabs>
          <w:tab w:val="num" w:pos="1800"/>
        </w:tabs>
        <w:ind w:left="1800" w:hanging="360"/>
      </w:pPr>
      <w:rPr>
        <w:rFonts w:ascii="Symbol" w:hAnsi="Symbol" w:hint="default"/>
      </w:rPr>
    </w:lvl>
    <w:lvl w:ilvl="2" w:tplc="60D2BEB6" w:tentative="1">
      <w:start w:val="1"/>
      <w:numFmt w:val="bullet"/>
      <w:lvlText w:val=""/>
      <w:lvlPicBulletId w:val="0"/>
      <w:lvlJc w:val="left"/>
      <w:pPr>
        <w:tabs>
          <w:tab w:val="num" w:pos="2520"/>
        </w:tabs>
        <w:ind w:left="2520" w:hanging="360"/>
      </w:pPr>
      <w:rPr>
        <w:rFonts w:ascii="Symbol" w:hAnsi="Symbol" w:hint="default"/>
      </w:rPr>
    </w:lvl>
    <w:lvl w:ilvl="3" w:tplc="FF4817BE" w:tentative="1">
      <w:start w:val="1"/>
      <w:numFmt w:val="bullet"/>
      <w:lvlText w:val=""/>
      <w:lvlPicBulletId w:val="0"/>
      <w:lvlJc w:val="left"/>
      <w:pPr>
        <w:tabs>
          <w:tab w:val="num" w:pos="3240"/>
        </w:tabs>
        <w:ind w:left="3240" w:hanging="360"/>
      </w:pPr>
      <w:rPr>
        <w:rFonts w:ascii="Symbol" w:hAnsi="Symbol" w:hint="default"/>
      </w:rPr>
    </w:lvl>
    <w:lvl w:ilvl="4" w:tplc="4DF8B8D6" w:tentative="1">
      <w:start w:val="1"/>
      <w:numFmt w:val="bullet"/>
      <w:lvlText w:val=""/>
      <w:lvlPicBulletId w:val="0"/>
      <w:lvlJc w:val="left"/>
      <w:pPr>
        <w:tabs>
          <w:tab w:val="num" w:pos="3960"/>
        </w:tabs>
        <w:ind w:left="3960" w:hanging="360"/>
      </w:pPr>
      <w:rPr>
        <w:rFonts w:ascii="Symbol" w:hAnsi="Symbol" w:hint="default"/>
      </w:rPr>
    </w:lvl>
    <w:lvl w:ilvl="5" w:tplc="797280C4" w:tentative="1">
      <w:start w:val="1"/>
      <w:numFmt w:val="bullet"/>
      <w:lvlText w:val=""/>
      <w:lvlPicBulletId w:val="0"/>
      <w:lvlJc w:val="left"/>
      <w:pPr>
        <w:tabs>
          <w:tab w:val="num" w:pos="4680"/>
        </w:tabs>
        <w:ind w:left="4680" w:hanging="360"/>
      </w:pPr>
      <w:rPr>
        <w:rFonts w:ascii="Symbol" w:hAnsi="Symbol" w:hint="default"/>
      </w:rPr>
    </w:lvl>
    <w:lvl w:ilvl="6" w:tplc="4D18E64C" w:tentative="1">
      <w:start w:val="1"/>
      <w:numFmt w:val="bullet"/>
      <w:lvlText w:val=""/>
      <w:lvlPicBulletId w:val="0"/>
      <w:lvlJc w:val="left"/>
      <w:pPr>
        <w:tabs>
          <w:tab w:val="num" w:pos="5400"/>
        </w:tabs>
        <w:ind w:left="5400" w:hanging="360"/>
      </w:pPr>
      <w:rPr>
        <w:rFonts w:ascii="Symbol" w:hAnsi="Symbol" w:hint="default"/>
      </w:rPr>
    </w:lvl>
    <w:lvl w:ilvl="7" w:tplc="8EDE3BAC" w:tentative="1">
      <w:start w:val="1"/>
      <w:numFmt w:val="bullet"/>
      <w:lvlText w:val=""/>
      <w:lvlPicBulletId w:val="0"/>
      <w:lvlJc w:val="left"/>
      <w:pPr>
        <w:tabs>
          <w:tab w:val="num" w:pos="6120"/>
        </w:tabs>
        <w:ind w:left="6120" w:hanging="360"/>
      </w:pPr>
      <w:rPr>
        <w:rFonts w:ascii="Symbol" w:hAnsi="Symbol" w:hint="default"/>
      </w:rPr>
    </w:lvl>
    <w:lvl w:ilvl="8" w:tplc="C062F916" w:tentative="1">
      <w:start w:val="1"/>
      <w:numFmt w:val="bullet"/>
      <w:lvlText w:val=""/>
      <w:lvlPicBulletId w:val="0"/>
      <w:lvlJc w:val="left"/>
      <w:pPr>
        <w:tabs>
          <w:tab w:val="num" w:pos="6840"/>
        </w:tabs>
        <w:ind w:left="6840" w:hanging="360"/>
      </w:pPr>
      <w:rPr>
        <w:rFonts w:ascii="Symbol" w:hAnsi="Symbol" w:hint="default"/>
      </w:rPr>
    </w:lvl>
  </w:abstractNum>
  <w:abstractNum w:abstractNumId="8" w15:restartNumberingAfterBreak="0">
    <w:nsid w:val="379E5EE4"/>
    <w:multiLevelType w:val="hybridMultilevel"/>
    <w:tmpl w:val="359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002D4"/>
    <w:multiLevelType w:val="hybridMultilevel"/>
    <w:tmpl w:val="5B462584"/>
    <w:lvl w:ilvl="0" w:tplc="974CBC92">
      <w:start w:val="1"/>
      <w:numFmt w:val="bullet"/>
      <w:lvlText w:val=""/>
      <w:lvlPicBulletId w:val="0"/>
      <w:lvlJc w:val="left"/>
      <w:pPr>
        <w:tabs>
          <w:tab w:val="num" w:pos="1080"/>
        </w:tabs>
        <w:ind w:left="1080" w:hanging="360"/>
      </w:pPr>
      <w:rPr>
        <w:rFonts w:ascii="Symbol" w:hAnsi="Symbol" w:hint="default"/>
      </w:rPr>
    </w:lvl>
    <w:lvl w:ilvl="1" w:tplc="BAEED6E8">
      <w:start w:val="859"/>
      <w:numFmt w:val="bullet"/>
      <w:lvlText w:val=""/>
      <w:lvlPicBulletId w:val="1"/>
      <w:lvlJc w:val="left"/>
      <w:pPr>
        <w:tabs>
          <w:tab w:val="num" w:pos="1800"/>
        </w:tabs>
        <w:ind w:left="1800" w:hanging="360"/>
      </w:pPr>
      <w:rPr>
        <w:rFonts w:ascii="Symbol" w:hAnsi="Symbol" w:hint="default"/>
      </w:rPr>
    </w:lvl>
    <w:lvl w:ilvl="2" w:tplc="F94A3C42" w:tentative="1">
      <w:start w:val="1"/>
      <w:numFmt w:val="bullet"/>
      <w:lvlText w:val=""/>
      <w:lvlPicBulletId w:val="0"/>
      <w:lvlJc w:val="left"/>
      <w:pPr>
        <w:tabs>
          <w:tab w:val="num" w:pos="2520"/>
        </w:tabs>
        <w:ind w:left="2520" w:hanging="360"/>
      </w:pPr>
      <w:rPr>
        <w:rFonts w:ascii="Symbol" w:hAnsi="Symbol" w:hint="default"/>
      </w:rPr>
    </w:lvl>
    <w:lvl w:ilvl="3" w:tplc="0FC44B40" w:tentative="1">
      <w:start w:val="1"/>
      <w:numFmt w:val="bullet"/>
      <w:lvlText w:val=""/>
      <w:lvlPicBulletId w:val="0"/>
      <w:lvlJc w:val="left"/>
      <w:pPr>
        <w:tabs>
          <w:tab w:val="num" w:pos="3240"/>
        </w:tabs>
        <w:ind w:left="3240" w:hanging="360"/>
      </w:pPr>
      <w:rPr>
        <w:rFonts w:ascii="Symbol" w:hAnsi="Symbol" w:hint="default"/>
      </w:rPr>
    </w:lvl>
    <w:lvl w:ilvl="4" w:tplc="2E8E66AA" w:tentative="1">
      <w:start w:val="1"/>
      <w:numFmt w:val="bullet"/>
      <w:lvlText w:val=""/>
      <w:lvlPicBulletId w:val="0"/>
      <w:lvlJc w:val="left"/>
      <w:pPr>
        <w:tabs>
          <w:tab w:val="num" w:pos="3960"/>
        </w:tabs>
        <w:ind w:left="3960" w:hanging="360"/>
      </w:pPr>
      <w:rPr>
        <w:rFonts w:ascii="Symbol" w:hAnsi="Symbol" w:hint="default"/>
      </w:rPr>
    </w:lvl>
    <w:lvl w:ilvl="5" w:tplc="0F127200" w:tentative="1">
      <w:start w:val="1"/>
      <w:numFmt w:val="bullet"/>
      <w:lvlText w:val=""/>
      <w:lvlPicBulletId w:val="0"/>
      <w:lvlJc w:val="left"/>
      <w:pPr>
        <w:tabs>
          <w:tab w:val="num" w:pos="4680"/>
        </w:tabs>
        <w:ind w:left="4680" w:hanging="360"/>
      </w:pPr>
      <w:rPr>
        <w:rFonts w:ascii="Symbol" w:hAnsi="Symbol" w:hint="default"/>
      </w:rPr>
    </w:lvl>
    <w:lvl w:ilvl="6" w:tplc="F77017BC" w:tentative="1">
      <w:start w:val="1"/>
      <w:numFmt w:val="bullet"/>
      <w:lvlText w:val=""/>
      <w:lvlPicBulletId w:val="0"/>
      <w:lvlJc w:val="left"/>
      <w:pPr>
        <w:tabs>
          <w:tab w:val="num" w:pos="5400"/>
        </w:tabs>
        <w:ind w:left="5400" w:hanging="360"/>
      </w:pPr>
      <w:rPr>
        <w:rFonts w:ascii="Symbol" w:hAnsi="Symbol" w:hint="default"/>
      </w:rPr>
    </w:lvl>
    <w:lvl w:ilvl="7" w:tplc="C4E652D8" w:tentative="1">
      <w:start w:val="1"/>
      <w:numFmt w:val="bullet"/>
      <w:lvlText w:val=""/>
      <w:lvlPicBulletId w:val="0"/>
      <w:lvlJc w:val="left"/>
      <w:pPr>
        <w:tabs>
          <w:tab w:val="num" w:pos="6120"/>
        </w:tabs>
        <w:ind w:left="6120" w:hanging="360"/>
      </w:pPr>
      <w:rPr>
        <w:rFonts w:ascii="Symbol" w:hAnsi="Symbol" w:hint="default"/>
      </w:rPr>
    </w:lvl>
    <w:lvl w:ilvl="8" w:tplc="7A4636F8" w:tentative="1">
      <w:start w:val="1"/>
      <w:numFmt w:val="bullet"/>
      <w:lvlText w:val=""/>
      <w:lvlPicBulletId w:val="0"/>
      <w:lvlJc w:val="left"/>
      <w:pPr>
        <w:tabs>
          <w:tab w:val="num" w:pos="6840"/>
        </w:tabs>
        <w:ind w:left="6840" w:hanging="360"/>
      </w:pPr>
      <w:rPr>
        <w:rFonts w:ascii="Symbol" w:hAnsi="Symbol" w:hint="default"/>
      </w:rPr>
    </w:lvl>
  </w:abstractNum>
  <w:abstractNum w:abstractNumId="10" w15:restartNumberingAfterBreak="0">
    <w:nsid w:val="410933FF"/>
    <w:multiLevelType w:val="hybridMultilevel"/>
    <w:tmpl w:val="8CBCA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0542E"/>
    <w:multiLevelType w:val="hybridMultilevel"/>
    <w:tmpl w:val="6950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86CA3"/>
    <w:multiLevelType w:val="hybridMultilevel"/>
    <w:tmpl w:val="F7F40662"/>
    <w:lvl w:ilvl="0" w:tplc="25AA4808">
      <w:start w:val="1"/>
      <w:numFmt w:val="bullet"/>
      <w:lvlText w:val=""/>
      <w:lvlPicBulletId w:val="0"/>
      <w:lvlJc w:val="left"/>
      <w:pPr>
        <w:tabs>
          <w:tab w:val="num" w:pos="720"/>
        </w:tabs>
        <w:ind w:left="720" w:hanging="360"/>
      </w:pPr>
      <w:rPr>
        <w:rFonts w:ascii="Symbol" w:hAnsi="Symbol" w:hint="default"/>
      </w:rPr>
    </w:lvl>
    <w:lvl w:ilvl="1" w:tplc="B11AC5C4" w:tentative="1">
      <w:start w:val="1"/>
      <w:numFmt w:val="bullet"/>
      <w:lvlText w:val=""/>
      <w:lvlPicBulletId w:val="0"/>
      <w:lvlJc w:val="left"/>
      <w:pPr>
        <w:tabs>
          <w:tab w:val="num" w:pos="1440"/>
        </w:tabs>
        <w:ind w:left="1440" w:hanging="360"/>
      </w:pPr>
      <w:rPr>
        <w:rFonts w:ascii="Symbol" w:hAnsi="Symbol" w:hint="default"/>
      </w:rPr>
    </w:lvl>
    <w:lvl w:ilvl="2" w:tplc="865AB72E" w:tentative="1">
      <w:start w:val="1"/>
      <w:numFmt w:val="bullet"/>
      <w:lvlText w:val=""/>
      <w:lvlPicBulletId w:val="0"/>
      <w:lvlJc w:val="left"/>
      <w:pPr>
        <w:tabs>
          <w:tab w:val="num" w:pos="2160"/>
        </w:tabs>
        <w:ind w:left="2160" w:hanging="360"/>
      </w:pPr>
      <w:rPr>
        <w:rFonts w:ascii="Symbol" w:hAnsi="Symbol" w:hint="default"/>
      </w:rPr>
    </w:lvl>
    <w:lvl w:ilvl="3" w:tplc="EEA83BA2" w:tentative="1">
      <w:start w:val="1"/>
      <w:numFmt w:val="bullet"/>
      <w:lvlText w:val=""/>
      <w:lvlPicBulletId w:val="0"/>
      <w:lvlJc w:val="left"/>
      <w:pPr>
        <w:tabs>
          <w:tab w:val="num" w:pos="2880"/>
        </w:tabs>
        <w:ind w:left="2880" w:hanging="360"/>
      </w:pPr>
      <w:rPr>
        <w:rFonts w:ascii="Symbol" w:hAnsi="Symbol" w:hint="default"/>
      </w:rPr>
    </w:lvl>
    <w:lvl w:ilvl="4" w:tplc="38EC0186" w:tentative="1">
      <w:start w:val="1"/>
      <w:numFmt w:val="bullet"/>
      <w:lvlText w:val=""/>
      <w:lvlPicBulletId w:val="0"/>
      <w:lvlJc w:val="left"/>
      <w:pPr>
        <w:tabs>
          <w:tab w:val="num" w:pos="3600"/>
        </w:tabs>
        <w:ind w:left="3600" w:hanging="360"/>
      </w:pPr>
      <w:rPr>
        <w:rFonts w:ascii="Symbol" w:hAnsi="Symbol" w:hint="default"/>
      </w:rPr>
    </w:lvl>
    <w:lvl w:ilvl="5" w:tplc="EA72CA30" w:tentative="1">
      <w:start w:val="1"/>
      <w:numFmt w:val="bullet"/>
      <w:lvlText w:val=""/>
      <w:lvlPicBulletId w:val="0"/>
      <w:lvlJc w:val="left"/>
      <w:pPr>
        <w:tabs>
          <w:tab w:val="num" w:pos="4320"/>
        </w:tabs>
        <w:ind w:left="4320" w:hanging="360"/>
      </w:pPr>
      <w:rPr>
        <w:rFonts w:ascii="Symbol" w:hAnsi="Symbol" w:hint="default"/>
      </w:rPr>
    </w:lvl>
    <w:lvl w:ilvl="6" w:tplc="0DD618E0" w:tentative="1">
      <w:start w:val="1"/>
      <w:numFmt w:val="bullet"/>
      <w:lvlText w:val=""/>
      <w:lvlPicBulletId w:val="0"/>
      <w:lvlJc w:val="left"/>
      <w:pPr>
        <w:tabs>
          <w:tab w:val="num" w:pos="5040"/>
        </w:tabs>
        <w:ind w:left="5040" w:hanging="360"/>
      </w:pPr>
      <w:rPr>
        <w:rFonts w:ascii="Symbol" w:hAnsi="Symbol" w:hint="default"/>
      </w:rPr>
    </w:lvl>
    <w:lvl w:ilvl="7" w:tplc="C624D4DC" w:tentative="1">
      <w:start w:val="1"/>
      <w:numFmt w:val="bullet"/>
      <w:lvlText w:val=""/>
      <w:lvlPicBulletId w:val="0"/>
      <w:lvlJc w:val="left"/>
      <w:pPr>
        <w:tabs>
          <w:tab w:val="num" w:pos="5760"/>
        </w:tabs>
        <w:ind w:left="5760" w:hanging="360"/>
      </w:pPr>
      <w:rPr>
        <w:rFonts w:ascii="Symbol" w:hAnsi="Symbol" w:hint="default"/>
      </w:rPr>
    </w:lvl>
    <w:lvl w:ilvl="8" w:tplc="A79A4B72"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FC50F0E"/>
    <w:multiLevelType w:val="hybridMultilevel"/>
    <w:tmpl w:val="82A0C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03B93"/>
    <w:multiLevelType w:val="hybridMultilevel"/>
    <w:tmpl w:val="7B7E0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4D3FC4"/>
    <w:multiLevelType w:val="hybridMultilevel"/>
    <w:tmpl w:val="F9E6A128"/>
    <w:lvl w:ilvl="0" w:tplc="14AED5B0">
      <w:start w:val="1"/>
      <w:numFmt w:val="bullet"/>
      <w:lvlText w:val=""/>
      <w:lvlPicBulletId w:val="0"/>
      <w:lvlJc w:val="left"/>
      <w:pPr>
        <w:tabs>
          <w:tab w:val="num" w:pos="720"/>
        </w:tabs>
        <w:ind w:left="720" w:hanging="360"/>
      </w:pPr>
      <w:rPr>
        <w:rFonts w:ascii="Symbol" w:hAnsi="Symbol" w:hint="default"/>
      </w:rPr>
    </w:lvl>
    <w:lvl w:ilvl="1" w:tplc="825A5E96" w:tentative="1">
      <w:start w:val="1"/>
      <w:numFmt w:val="bullet"/>
      <w:lvlText w:val=""/>
      <w:lvlPicBulletId w:val="0"/>
      <w:lvlJc w:val="left"/>
      <w:pPr>
        <w:tabs>
          <w:tab w:val="num" w:pos="1440"/>
        </w:tabs>
        <w:ind w:left="1440" w:hanging="360"/>
      </w:pPr>
      <w:rPr>
        <w:rFonts w:ascii="Symbol" w:hAnsi="Symbol" w:hint="default"/>
      </w:rPr>
    </w:lvl>
    <w:lvl w:ilvl="2" w:tplc="182EE730" w:tentative="1">
      <w:start w:val="1"/>
      <w:numFmt w:val="bullet"/>
      <w:lvlText w:val=""/>
      <w:lvlPicBulletId w:val="0"/>
      <w:lvlJc w:val="left"/>
      <w:pPr>
        <w:tabs>
          <w:tab w:val="num" w:pos="2160"/>
        </w:tabs>
        <w:ind w:left="2160" w:hanging="360"/>
      </w:pPr>
      <w:rPr>
        <w:rFonts w:ascii="Symbol" w:hAnsi="Symbol" w:hint="default"/>
      </w:rPr>
    </w:lvl>
    <w:lvl w:ilvl="3" w:tplc="B62C36F0" w:tentative="1">
      <w:start w:val="1"/>
      <w:numFmt w:val="bullet"/>
      <w:lvlText w:val=""/>
      <w:lvlPicBulletId w:val="0"/>
      <w:lvlJc w:val="left"/>
      <w:pPr>
        <w:tabs>
          <w:tab w:val="num" w:pos="2880"/>
        </w:tabs>
        <w:ind w:left="2880" w:hanging="360"/>
      </w:pPr>
      <w:rPr>
        <w:rFonts w:ascii="Symbol" w:hAnsi="Symbol" w:hint="default"/>
      </w:rPr>
    </w:lvl>
    <w:lvl w:ilvl="4" w:tplc="13121B5A" w:tentative="1">
      <w:start w:val="1"/>
      <w:numFmt w:val="bullet"/>
      <w:lvlText w:val=""/>
      <w:lvlPicBulletId w:val="0"/>
      <w:lvlJc w:val="left"/>
      <w:pPr>
        <w:tabs>
          <w:tab w:val="num" w:pos="3600"/>
        </w:tabs>
        <w:ind w:left="3600" w:hanging="360"/>
      </w:pPr>
      <w:rPr>
        <w:rFonts w:ascii="Symbol" w:hAnsi="Symbol" w:hint="default"/>
      </w:rPr>
    </w:lvl>
    <w:lvl w:ilvl="5" w:tplc="C23617C0" w:tentative="1">
      <w:start w:val="1"/>
      <w:numFmt w:val="bullet"/>
      <w:lvlText w:val=""/>
      <w:lvlPicBulletId w:val="0"/>
      <w:lvlJc w:val="left"/>
      <w:pPr>
        <w:tabs>
          <w:tab w:val="num" w:pos="4320"/>
        </w:tabs>
        <w:ind w:left="4320" w:hanging="360"/>
      </w:pPr>
      <w:rPr>
        <w:rFonts w:ascii="Symbol" w:hAnsi="Symbol" w:hint="default"/>
      </w:rPr>
    </w:lvl>
    <w:lvl w:ilvl="6" w:tplc="5EFE9926" w:tentative="1">
      <w:start w:val="1"/>
      <w:numFmt w:val="bullet"/>
      <w:lvlText w:val=""/>
      <w:lvlPicBulletId w:val="0"/>
      <w:lvlJc w:val="left"/>
      <w:pPr>
        <w:tabs>
          <w:tab w:val="num" w:pos="5040"/>
        </w:tabs>
        <w:ind w:left="5040" w:hanging="360"/>
      </w:pPr>
      <w:rPr>
        <w:rFonts w:ascii="Symbol" w:hAnsi="Symbol" w:hint="default"/>
      </w:rPr>
    </w:lvl>
    <w:lvl w:ilvl="7" w:tplc="C91E1788" w:tentative="1">
      <w:start w:val="1"/>
      <w:numFmt w:val="bullet"/>
      <w:lvlText w:val=""/>
      <w:lvlPicBulletId w:val="0"/>
      <w:lvlJc w:val="left"/>
      <w:pPr>
        <w:tabs>
          <w:tab w:val="num" w:pos="5760"/>
        </w:tabs>
        <w:ind w:left="5760" w:hanging="360"/>
      </w:pPr>
      <w:rPr>
        <w:rFonts w:ascii="Symbol" w:hAnsi="Symbol" w:hint="default"/>
      </w:rPr>
    </w:lvl>
    <w:lvl w:ilvl="8" w:tplc="43046E58"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59612792"/>
    <w:multiLevelType w:val="hybridMultilevel"/>
    <w:tmpl w:val="7B0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47990"/>
    <w:multiLevelType w:val="hybridMultilevel"/>
    <w:tmpl w:val="AA70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C1D7E"/>
    <w:multiLevelType w:val="hybridMultilevel"/>
    <w:tmpl w:val="480EC860"/>
    <w:lvl w:ilvl="0" w:tplc="B53EC458">
      <w:start w:val="1"/>
      <w:numFmt w:val="bullet"/>
      <w:lvlText w:val=""/>
      <w:lvlPicBulletId w:val="0"/>
      <w:lvlJc w:val="left"/>
      <w:pPr>
        <w:tabs>
          <w:tab w:val="num" w:pos="720"/>
        </w:tabs>
        <w:ind w:left="720" w:hanging="360"/>
      </w:pPr>
      <w:rPr>
        <w:rFonts w:ascii="Symbol" w:hAnsi="Symbol" w:hint="default"/>
      </w:rPr>
    </w:lvl>
    <w:lvl w:ilvl="1" w:tplc="FCA4A598" w:tentative="1">
      <w:start w:val="1"/>
      <w:numFmt w:val="bullet"/>
      <w:lvlText w:val=""/>
      <w:lvlPicBulletId w:val="0"/>
      <w:lvlJc w:val="left"/>
      <w:pPr>
        <w:tabs>
          <w:tab w:val="num" w:pos="1440"/>
        </w:tabs>
        <w:ind w:left="1440" w:hanging="360"/>
      </w:pPr>
      <w:rPr>
        <w:rFonts w:ascii="Symbol" w:hAnsi="Symbol" w:hint="default"/>
      </w:rPr>
    </w:lvl>
    <w:lvl w:ilvl="2" w:tplc="65C803CA" w:tentative="1">
      <w:start w:val="1"/>
      <w:numFmt w:val="bullet"/>
      <w:lvlText w:val=""/>
      <w:lvlPicBulletId w:val="0"/>
      <w:lvlJc w:val="left"/>
      <w:pPr>
        <w:tabs>
          <w:tab w:val="num" w:pos="2160"/>
        </w:tabs>
        <w:ind w:left="2160" w:hanging="360"/>
      </w:pPr>
      <w:rPr>
        <w:rFonts w:ascii="Symbol" w:hAnsi="Symbol" w:hint="default"/>
      </w:rPr>
    </w:lvl>
    <w:lvl w:ilvl="3" w:tplc="D44AD4B4" w:tentative="1">
      <w:start w:val="1"/>
      <w:numFmt w:val="bullet"/>
      <w:lvlText w:val=""/>
      <w:lvlPicBulletId w:val="0"/>
      <w:lvlJc w:val="left"/>
      <w:pPr>
        <w:tabs>
          <w:tab w:val="num" w:pos="2880"/>
        </w:tabs>
        <w:ind w:left="2880" w:hanging="360"/>
      </w:pPr>
      <w:rPr>
        <w:rFonts w:ascii="Symbol" w:hAnsi="Symbol" w:hint="default"/>
      </w:rPr>
    </w:lvl>
    <w:lvl w:ilvl="4" w:tplc="AD8EBA7A" w:tentative="1">
      <w:start w:val="1"/>
      <w:numFmt w:val="bullet"/>
      <w:lvlText w:val=""/>
      <w:lvlPicBulletId w:val="0"/>
      <w:lvlJc w:val="left"/>
      <w:pPr>
        <w:tabs>
          <w:tab w:val="num" w:pos="3600"/>
        </w:tabs>
        <w:ind w:left="3600" w:hanging="360"/>
      </w:pPr>
      <w:rPr>
        <w:rFonts w:ascii="Symbol" w:hAnsi="Symbol" w:hint="default"/>
      </w:rPr>
    </w:lvl>
    <w:lvl w:ilvl="5" w:tplc="4D32DBDE" w:tentative="1">
      <w:start w:val="1"/>
      <w:numFmt w:val="bullet"/>
      <w:lvlText w:val=""/>
      <w:lvlPicBulletId w:val="0"/>
      <w:lvlJc w:val="left"/>
      <w:pPr>
        <w:tabs>
          <w:tab w:val="num" w:pos="4320"/>
        </w:tabs>
        <w:ind w:left="4320" w:hanging="360"/>
      </w:pPr>
      <w:rPr>
        <w:rFonts w:ascii="Symbol" w:hAnsi="Symbol" w:hint="default"/>
      </w:rPr>
    </w:lvl>
    <w:lvl w:ilvl="6" w:tplc="63A66F7A" w:tentative="1">
      <w:start w:val="1"/>
      <w:numFmt w:val="bullet"/>
      <w:lvlText w:val=""/>
      <w:lvlPicBulletId w:val="0"/>
      <w:lvlJc w:val="left"/>
      <w:pPr>
        <w:tabs>
          <w:tab w:val="num" w:pos="5040"/>
        </w:tabs>
        <w:ind w:left="5040" w:hanging="360"/>
      </w:pPr>
      <w:rPr>
        <w:rFonts w:ascii="Symbol" w:hAnsi="Symbol" w:hint="default"/>
      </w:rPr>
    </w:lvl>
    <w:lvl w:ilvl="7" w:tplc="3196CCA2" w:tentative="1">
      <w:start w:val="1"/>
      <w:numFmt w:val="bullet"/>
      <w:lvlText w:val=""/>
      <w:lvlPicBulletId w:val="0"/>
      <w:lvlJc w:val="left"/>
      <w:pPr>
        <w:tabs>
          <w:tab w:val="num" w:pos="5760"/>
        </w:tabs>
        <w:ind w:left="5760" w:hanging="360"/>
      </w:pPr>
      <w:rPr>
        <w:rFonts w:ascii="Symbol" w:hAnsi="Symbol" w:hint="default"/>
      </w:rPr>
    </w:lvl>
    <w:lvl w:ilvl="8" w:tplc="F3BC16CC"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6A836805"/>
    <w:multiLevelType w:val="hybridMultilevel"/>
    <w:tmpl w:val="09EAB60C"/>
    <w:lvl w:ilvl="0" w:tplc="81309B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A3520"/>
    <w:multiLevelType w:val="hybridMultilevel"/>
    <w:tmpl w:val="AFA25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F75D09"/>
    <w:multiLevelType w:val="hybridMultilevel"/>
    <w:tmpl w:val="D0443984"/>
    <w:lvl w:ilvl="0" w:tplc="E904D470">
      <w:start w:val="1"/>
      <w:numFmt w:val="bullet"/>
      <w:lvlText w:val=""/>
      <w:lvlPicBulletId w:val="0"/>
      <w:lvlJc w:val="left"/>
      <w:pPr>
        <w:tabs>
          <w:tab w:val="num" w:pos="720"/>
        </w:tabs>
        <w:ind w:left="720" w:hanging="360"/>
      </w:pPr>
      <w:rPr>
        <w:rFonts w:ascii="Symbol" w:hAnsi="Symbol" w:hint="default"/>
      </w:rPr>
    </w:lvl>
    <w:lvl w:ilvl="1" w:tplc="6328861C">
      <w:start w:val="859"/>
      <w:numFmt w:val="bullet"/>
      <w:lvlText w:val=""/>
      <w:lvlPicBulletId w:val="1"/>
      <w:lvlJc w:val="left"/>
      <w:pPr>
        <w:tabs>
          <w:tab w:val="num" w:pos="1440"/>
        </w:tabs>
        <w:ind w:left="1440" w:hanging="360"/>
      </w:pPr>
      <w:rPr>
        <w:rFonts w:ascii="Symbol" w:hAnsi="Symbol" w:hint="default"/>
      </w:rPr>
    </w:lvl>
    <w:lvl w:ilvl="2" w:tplc="839C7C84" w:tentative="1">
      <w:start w:val="1"/>
      <w:numFmt w:val="bullet"/>
      <w:lvlText w:val=""/>
      <w:lvlPicBulletId w:val="0"/>
      <w:lvlJc w:val="left"/>
      <w:pPr>
        <w:tabs>
          <w:tab w:val="num" w:pos="2160"/>
        </w:tabs>
        <w:ind w:left="2160" w:hanging="360"/>
      </w:pPr>
      <w:rPr>
        <w:rFonts w:ascii="Symbol" w:hAnsi="Symbol" w:hint="default"/>
      </w:rPr>
    </w:lvl>
    <w:lvl w:ilvl="3" w:tplc="6CCADAC4" w:tentative="1">
      <w:start w:val="1"/>
      <w:numFmt w:val="bullet"/>
      <w:lvlText w:val=""/>
      <w:lvlPicBulletId w:val="0"/>
      <w:lvlJc w:val="left"/>
      <w:pPr>
        <w:tabs>
          <w:tab w:val="num" w:pos="2880"/>
        </w:tabs>
        <w:ind w:left="2880" w:hanging="360"/>
      </w:pPr>
      <w:rPr>
        <w:rFonts w:ascii="Symbol" w:hAnsi="Symbol" w:hint="default"/>
      </w:rPr>
    </w:lvl>
    <w:lvl w:ilvl="4" w:tplc="229E9106" w:tentative="1">
      <w:start w:val="1"/>
      <w:numFmt w:val="bullet"/>
      <w:lvlText w:val=""/>
      <w:lvlPicBulletId w:val="0"/>
      <w:lvlJc w:val="left"/>
      <w:pPr>
        <w:tabs>
          <w:tab w:val="num" w:pos="3600"/>
        </w:tabs>
        <w:ind w:left="3600" w:hanging="360"/>
      </w:pPr>
      <w:rPr>
        <w:rFonts w:ascii="Symbol" w:hAnsi="Symbol" w:hint="default"/>
      </w:rPr>
    </w:lvl>
    <w:lvl w:ilvl="5" w:tplc="4042AC32" w:tentative="1">
      <w:start w:val="1"/>
      <w:numFmt w:val="bullet"/>
      <w:lvlText w:val=""/>
      <w:lvlPicBulletId w:val="0"/>
      <w:lvlJc w:val="left"/>
      <w:pPr>
        <w:tabs>
          <w:tab w:val="num" w:pos="4320"/>
        </w:tabs>
        <w:ind w:left="4320" w:hanging="360"/>
      </w:pPr>
      <w:rPr>
        <w:rFonts w:ascii="Symbol" w:hAnsi="Symbol" w:hint="default"/>
      </w:rPr>
    </w:lvl>
    <w:lvl w:ilvl="6" w:tplc="79C018FA" w:tentative="1">
      <w:start w:val="1"/>
      <w:numFmt w:val="bullet"/>
      <w:lvlText w:val=""/>
      <w:lvlPicBulletId w:val="0"/>
      <w:lvlJc w:val="left"/>
      <w:pPr>
        <w:tabs>
          <w:tab w:val="num" w:pos="5040"/>
        </w:tabs>
        <w:ind w:left="5040" w:hanging="360"/>
      </w:pPr>
      <w:rPr>
        <w:rFonts w:ascii="Symbol" w:hAnsi="Symbol" w:hint="default"/>
      </w:rPr>
    </w:lvl>
    <w:lvl w:ilvl="7" w:tplc="6E60D6F2" w:tentative="1">
      <w:start w:val="1"/>
      <w:numFmt w:val="bullet"/>
      <w:lvlText w:val=""/>
      <w:lvlPicBulletId w:val="0"/>
      <w:lvlJc w:val="left"/>
      <w:pPr>
        <w:tabs>
          <w:tab w:val="num" w:pos="5760"/>
        </w:tabs>
        <w:ind w:left="5760" w:hanging="360"/>
      </w:pPr>
      <w:rPr>
        <w:rFonts w:ascii="Symbol" w:hAnsi="Symbol" w:hint="default"/>
      </w:rPr>
    </w:lvl>
    <w:lvl w:ilvl="8" w:tplc="A48642BE"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74872B82"/>
    <w:multiLevelType w:val="hybridMultilevel"/>
    <w:tmpl w:val="9AE23AC4"/>
    <w:lvl w:ilvl="0" w:tplc="EE2242E0">
      <w:start w:val="1"/>
      <w:numFmt w:val="bullet"/>
      <w:lvlText w:val=""/>
      <w:lvlPicBulletId w:val="0"/>
      <w:lvlJc w:val="left"/>
      <w:pPr>
        <w:tabs>
          <w:tab w:val="num" w:pos="720"/>
        </w:tabs>
        <w:ind w:left="720" w:hanging="360"/>
      </w:pPr>
      <w:rPr>
        <w:rFonts w:ascii="Symbol" w:hAnsi="Symbol" w:hint="default"/>
      </w:rPr>
    </w:lvl>
    <w:lvl w:ilvl="1" w:tplc="19589DF8">
      <w:start w:val="1370"/>
      <w:numFmt w:val="bullet"/>
      <w:lvlText w:val=""/>
      <w:lvlPicBulletId w:val="1"/>
      <w:lvlJc w:val="left"/>
      <w:pPr>
        <w:tabs>
          <w:tab w:val="num" w:pos="1440"/>
        </w:tabs>
        <w:ind w:left="1440" w:hanging="360"/>
      </w:pPr>
      <w:rPr>
        <w:rFonts w:ascii="Symbol" w:hAnsi="Symbol" w:hint="default"/>
      </w:rPr>
    </w:lvl>
    <w:lvl w:ilvl="2" w:tplc="E0BE844E" w:tentative="1">
      <w:start w:val="1"/>
      <w:numFmt w:val="bullet"/>
      <w:lvlText w:val=""/>
      <w:lvlPicBulletId w:val="0"/>
      <w:lvlJc w:val="left"/>
      <w:pPr>
        <w:tabs>
          <w:tab w:val="num" w:pos="2160"/>
        </w:tabs>
        <w:ind w:left="2160" w:hanging="360"/>
      </w:pPr>
      <w:rPr>
        <w:rFonts w:ascii="Symbol" w:hAnsi="Symbol" w:hint="default"/>
      </w:rPr>
    </w:lvl>
    <w:lvl w:ilvl="3" w:tplc="045CB40A" w:tentative="1">
      <w:start w:val="1"/>
      <w:numFmt w:val="bullet"/>
      <w:lvlText w:val=""/>
      <w:lvlPicBulletId w:val="0"/>
      <w:lvlJc w:val="left"/>
      <w:pPr>
        <w:tabs>
          <w:tab w:val="num" w:pos="2880"/>
        </w:tabs>
        <w:ind w:left="2880" w:hanging="360"/>
      </w:pPr>
      <w:rPr>
        <w:rFonts w:ascii="Symbol" w:hAnsi="Symbol" w:hint="default"/>
      </w:rPr>
    </w:lvl>
    <w:lvl w:ilvl="4" w:tplc="64324522" w:tentative="1">
      <w:start w:val="1"/>
      <w:numFmt w:val="bullet"/>
      <w:lvlText w:val=""/>
      <w:lvlPicBulletId w:val="0"/>
      <w:lvlJc w:val="left"/>
      <w:pPr>
        <w:tabs>
          <w:tab w:val="num" w:pos="3600"/>
        </w:tabs>
        <w:ind w:left="3600" w:hanging="360"/>
      </w:pPr>
      <w:rPr>
        <w:rFonts w:ascii="Symbol" w:hAnsi="Symbol" w:hint="default"/>
      </w:rPr>
    </w:lvl>
    <w:lvl w:ilvl="5" w:tplc="B588A126" w:tentative="1">
      <w:start w:val="1"/>
      <w:numFmt w:val="bullet"/>
      <w:lvlText w:val=""/>
      <w:lvlPicBulletId w:val="0"/>
      <w:lvlJc w:val="left"/>
      <w:pPr>
        <w:tabs>
          <w:tab w:val="num" w:pos="4320"/>
        </w:tabs>
        <w:ind w:left="4320" w:hanging="360"/>
      </w:pPr>
      <w:rPr>
        <w:rFonts w:ascii="Symbol" w:hAnsi="Symbol" w:hint="default"/>
      </w:rPr>
    </w:lvl>
    <w:lvl w:ilvl="6" w:tplc="B8508C34" w:tentative="1">
      <w:start w:val="1"/>
      <w:numFmt w:val="bullet"/>
      <w:lvlText w:val=""/>
      <w:lvlPicBulletId w:val="0"/>
      <w:lvlJc w:val="left"/>
      <w:pPr>
        <w:tabs>
          <w:tab w:val="num" w:pos="5040"/>
        </w:tabs>
        <w:ind w:left="5040" w:hanging="360"/>
      </w:pPr>
      <w:rPr>
        <w:rFonts w:ascii="Symbol" w:hAnsi="Symbol" w:hint="default"/>
      </w:rPr>
    </w:lvl>
    <w:lvl w:ilvl="7" w:tplc="1EE48958" w:tentative="1">
      <w:start w:val="1"/>
      <w:numFmt w:val="bullet"/>
      <w:lvlText w:val=""/>
      <w:lvlPicBulletId w:val="0"/>
      <w:lvlJc w:val="left"/>
      <w:pPr>
        <w:tabs>
          <w:tab w:val="num" w:pos="5760"/>
        </w:tabs>
        <w:ind w:left="5760" w:hanging="360"/>
      </w:pPr>
      <w:rPr>
        <w:rFonts w:ascii="Symbol" w:hAnsi="Symbol" w:hint="default"/>
      </w:rPr>
    </w:lvl>
    <w:lvl w:ilvl="8" w:tplc="75BC2FE2"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78035716"/>
    <w:multiLevelType w:val="hybridMultilevel"/>
    <w:tmpl w:val="6CC8A71A"/>
    <w:lvl w:ilvl="0" w:tplc="0ED2FFC6">
      <w:start w:val="1"/>
      <w:numFmt w:val="bullet"/>
      <w:lvlText w:val=""/>
      <w:lvlPicBulletId w:val="0"/>
      <w:lvlJc w:val="left"/>
      <w:pPr>
        <w:tabs>
          <w:tab w:val="num" w:pos="720"/>
        </w:tabs>
        <w:ind w:left="720" w:hanging="360"/>
      </w:pPr>
      <w:rPr>
        <w:rFonts w:ascii="Symbol" w:hAnsi="Symbol" w:hint="default"/>
      </w:rPr>
    </w:lvl>
    <w:lvl w:ilvl="1" w:tplc="FF54F1BE" w:tentative="1">
      <w:start w:val="1"/>
      <w:numFmt w:val="bullet"/>
      <w:lvlText w:val=""/>
      <w:lvlPicBulletId w:val="0"/>
      <w:lvlJc w:val="left"/>
      <w:pPr>
        <w:tabs>
          <w:tab w:val="num" w:pos="1440"/>
        </w:tabs>
        <w:ind w:left="1440" w:hanging="360"/>
      </w:pPr>
      <w:rPr>
        <w:rFonts w:ascii="Symbol" w:hAnsi="Symbol" w:hint="default"/>
      </w:rPr>
    </w:lvl>
    <w:lvl w:ilvl="2" w:tplc="9894F0A8" w:tentative="1">
      <w:start w:val="1"/>
      <w:numFmt w:val="bullet"/>
      <w:lvlText w:val=""/>
      <w:lvlPicBulletId w:val="0"/>
      <w:lvlJc w:val="left"/>
      <w:pPr>
        <w:tabs>
          <w:tab w:val="num" w:pos="2160"/>
        </w:tabs>
        <w:ind w:left="2160" w:hanging="360"/>
      </w:pPr>
      <w:rPr>
        <w:rFonts w:ascii="Symbol" w:hAnsi="Symbol" w:hint="default"/>
      </w:rPr>
    </w:lvl>
    <w:lvl w:ilvl="3" w:tplc="084A5B5A" w:tentative="1">
      <w:start w:val="1"/>
      <w:numFmt w:val="bullet"/>
      <w:lvlText w:val=""/>
      <w:lvlPicBulletId w:val="0"/>
      <w:lvlJc w:val="left"/>
      <w:pPr>
        <w:tabs>
          <w:tab w:val="num" w:pos="2880"/>
        </w:tabs>
        <w:ind w:left="2880" w:hanging="360"/>
      </w:pPr>
      <w:rPr>
        <w:rFonts w:ascii="Symbol" w:hAnsi="Symbol" w:hint="default"/>
      </w:rPr>
    </w:lvl>
    <w:lvl w:ilvl="4" w:tplc="161A5B02" w:tentative="1">
      <w:start w:val="1"/>
      <w:numFmt w:val="bullet"/>
      <w:lvlText w:val=""/>
      <w:lvlPicBulletId w:val="0"/>
      <w:lvlJc w:val="left"/>
      <w:pPr>
        <w:tabs>
          <w:tab w:val="num" w:pos="3600"/>
        </w:tabs>
        <w:ind w:left="3600" w:hanging="360"/>
      </w:pPr>
      <w:rPr>
        <w:rFonts w:ascii="Symbol" w:hAnsi="Symbol" w:hint="default"/>
      </w:rPr>
    </w:lvl>
    <w:lvl w:ilvl="5" w:tplc="E25C615C" w:tentative="1">
      <w:start w:val="1"/>
      <w:numFmt w:val="bullet"/>
      <w:lvlText w:val=""/>
      <w:lvlPicBulletId w:val="0"/>
      <w:lvlJc w:val="left"/>
      <w:pPr>
        <w:tabs>
          <w:tab w:val="num" w:pos="4320"/>
        </w:tabs>
        <w:ind w:left="4320" w:hanging="360"/>
      </w:pPr>
      <w:rPr>
        <w:rFonts w:ascii="Symbol" w:hAnsi="Symbol" w:hint="default"/>
      </w:rPr>
    </w:lvl>
    <w:lvl w:ilvl="6" w:tplc="A12ED6DC" w:tentative="1">
      <w:start w:val="1"/>
      <w:numFmt w:val="bullet"/>
      <w:lvlText w:val=""/>
      <w:lvlPicBulletId w:val="0"/>
      <w:lvlJc w:val="left"/>
      <w:pPr>
        <w:tabs>
          <w:tab w:val="num" w:pos="5040"/>
        </w:tabs>
        <w:ind w:left="5040" w:hanging="360"/>
      </w:pPr>
      <w:rPr>
        <w:rFonts w:ascii="Symbol" w:hAnsi="Symbol" w:hint="default"/>
      </w:rPr>
    </w:lvl>
    <w:lvl w:ilvl="7" w:tplc="368264D0" w:tentative="1">
      <w:start w:val="1"/>
      <w:numFmt w:val="bullet"/>
      <w:lvlText w:val=""/>
      <w:lvlPicBulletId w:val="0"/>
      <w:lvlJc w:val="left"/>
      <w:pPr>
        <w:tabs>
          <w:tab w:val="num" w:pos="5760"/>
        </w:tabs>
        <w:ind w:left="5760" w:hanging="360"/>
      </w:pPr>
      <w:rPr>
        <w:rFonts w:ascii="Symbol" w:hAnsi="Symbol" w:hint="default"/>
      </w:rPr>
    </w:lvl>
    <w:lvl w:ilvl="8" w:tplc="EE76D58E" w:tentative="1">
      <w:start w:val="1"/>
      <w:numFmt w:val="bullet"/>
      <w:lvlText w:val=""/>
      <w:lvlPicBulletId w:val="0"/>
      <w:lvlJc w:val="left"/>
      <w:pPr>
        <w:tabs>
          <w:tab w:val="num" w:pos="6480"/>
        </w:tabs>
        <w:ind w:left="6480" w:hanging="360"/>
      </w:pPr>
      <w:rPr>
        <w:rFonts w:ascii="Symbol" w:hAnsi="Symbol" w:hint="default"/>
      </w:rPr>
    </w:lvl>
  </w:abstractNum>
  <w:num w:numId="1">
    <w:abstractNumId w:val="3"/>
  </w:num>
  <w:num w:numId="2">
    <w:abstractNumId w:val="8"/>
  </w:num>
  <w:num w:numId="3">
    <w:abstractNumId w:val="16"/>
  </w:num>
  <w:num w:numId="4">
    <w:abstractNumId w:val="1"/>
  </w:num>
  <w:num w:numId="5">
    <w:abstractNumId w:val="6"/>
  </w:num>
  <w:num w:numId="6">
    <w:abstractNumId w:val="5"/>
  </w:num>
  <w:num w:numId="7">
    <w:abstractNumId w:val="4"/>
  </w:num>
  <w:num w:numId="8">
    <w:abstractNumId w:val="13"/>
  </w:num>
  <w:num w:numId="9">
    <w:abstractNumId w:val="11"/>
  </w:num>
  <w:num w:numId="10">
    <w:abstractNumId w:val="17"/>
  </w:num>
  <w:num w:numId="11">
    <w:abstractNumId w:val="0"/>
  </w:num>
  <w:num w:numId="12">
    <w:abstractNumId w:val="21"/>
  </w:num>
  <w:num w:numId="13">
    <w:abstractNumId w:val="9"/>
  </w:num>
  <w:num w:numId="14">
    <w:abstractNumId w:val="7"/>
  </w:num>
  <w:num w:numId="15">
    <w:abstractNumId w:val="10"/>
  </w:num>
  <w:num w:numId="16">
    <w:abstractNumId w:val="22"/>
  </w:num>
  <w:num w:numId="17">
    <w:abstractNumId w:val="12"/>
  </w:num>
  <w:num w:numId="18">
    <w:abstractNumId w:val="18"/>
  </w:num>
  <w:num w:numId="19">
    <w:abstractNumId w:val="23"/>
  </w:num>
  <w:num w:numId="20">
    <w:abstractNumId w:val="15"/>
  </w:num>
  <w:num w:numId="21">
    <w:abstractNumId w:val="2"/>
  </w:num>
  <w:num w:numId="22">
    <w:abstractNumId w:val="20"/>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72"/>
    <w:rsid w:val="0000377F"/>
    <w:rsid w:val="0000697F"/>
    <w:rsid w:val="00055295"/>
    <w:rsid w:val="00061A27"/>
    <w:rsid w:val="000A3A61"/>
    <w:rsid w:val="000A7F66"/>
    <w:rsid w:val="000C4501"/>
    <w:rsid w:val="0010466A"/>
    <w:rsid w:val="001427E1"/>
    <w:rsid w:val="001466DA"/>
    <w:rsid w:val="00147CCE"/>
    <w:rsid w:val="00166D5D"/>
    <w:rsid w:val="00170C18"/>
    <w:rsid w:val="00174E67"/>
    <w:rsid w:val="00185275"/>
    <w:rsid w:val="001A3A26"/>
    <w:rsid w:val="001C2071"/>
    <w:rsid w:val="001C3C0F"/>
    <w:rsid w:val="0020021C"/>
    <w:rsid w:val="002072CE"/>
    <w:rsid w:val="002219B2"/>
    <w:rsid w:val="00226656"/>
    <w:rsid w:val="002267C9"/>
    <w:rsid w:val="00230A4D"/>
    <w:rsid w:val="00265246"/>
    <w:rsid w:val="00270692"/>
    <w:rsid w:val="002C0038"/>
    <w:rsid w:val="002D722A"/>
    <w:rsid w:val="002F1885"/>
    <w:rsid w:val="00313149"/>
    <w:rsid w:val="003234DE"/>
    <w:rsid w:val="00356CE3"/>
    <w:rsid w:val="003657AD"/>
    <w:rsid w:val="0037269A"/>
    <w:rsid w:val="003872EF"/>
    <w:rsid w:val="003A1C81"/>
    <w:rsid w:val="003A4D3C"/>
    <w:rsid w:val="003C4A1A"/>
    <w:rsid w:val="003D6E64"/>
    <w:rsid w:val="003E603B"/>
    <w:rsid w:val="00434C6C"/>
    <w:rsid w:val="00451D49"/>
    <w:rsid w:val="004521D1"/>
    <w:rsid w:val="00465598"/>
    <w:rsid w:val="0047436F"/>
    <w:rsid w:val="0047723B"/>
    <w:rsid w:val="0048307B"/>
    <w:rsid w:val="004930D5"/>
    <w:rsid w:val="00495B01"/>
    <w:rsid w:val="004A6D96"/>
    <w:rsid w:val="004C2B4C"/>
    <w:rsid w:val="004E2593"/>
    <w:rsid w:val="004E43A6"/>
    <w:rsid w:val="004E4C15"/>
    <w:rsid w:val="004E5FAE"/>
    <w:rsid w:val="005032A6"/>
    <w:rsid w:val="00514611"/>
    <w:rsid w:val="00551D83"/>
    <w:rsid w:val="005B3E6B"/>
    <w:rsid w:val="005D206A"/>
    <w:rsid w:val="005F03AD"/>
    <w:rsid w:val="005F3BC7"/>
    <w:rsid w:val="005F4349"/>
    <w:rsid w:val="00630B5C"/>
    <w:rsid w:val="00637735"/>
    <w:rsid w:val="006604E6"/>
    <w:rsid w:val="006611FF"/>
    <w:rsid w:val="00685EC3"/>
    <w:rsid w:val="00695CF3"/>
    <w:rsid w:val="006B0A8E"/>
    <w:rsid w:val="006B5796"/>
    <w:rsid w:val="006C08D8"/>
    <w:rsid w:val="006F15F9"/>
    <w:rsid w:val="006F285B"/>
    <w:rsid w:val="00702448"/>
    <w:rsid w:val="00721803"/>
    <w:rsid w:val="007309C6"/>
    <w:rsid w:val="0077495E"/>
    <w:rsid w:val="00797D7A"/>
    <w:rsid w:val="007C6AA2"/>
    <w:rsid w:val="007F7751"/>
    <w:rsid w:val="00806955"/>
    <w:rsid w:val="0080708C"/>
    <w:rsid w:val="00814272"/>
    <w:rsid w:val="008172CD"/>
    <w:rsid w:val="00861DA4"/>
    <w:rsid w:val="00887FF3"/>
    <w:rsid w:val="0094479F"/>
    <w:rsid w:val="00961CD3"/>
    <w:rsid w:val="00966EC9"/>
    <w:rsid w:val="0097196C"/>
    <w:rsid w:val="009B4B9F"/>
    <w:rsid w:val="009C1B8A"/>
    <w:rsid w:val="009C569F"/>
    <w:rsid w:val="009F2147"/>
    <w:rsid w:val="00A008D4"/>
    <w:rsid w:val="00A06210"/>
    <w:rsid w:val="00A12563"/>
    <w:rsid w:val="00A33B0B"/>
    <w:rsid w:val="00A63AD4"/>
    <w:rsid w:val="00A93974"/>
    <w:rsid w:val="00AB4E87"/>
    <w:rsid w:val="00AF5013"/>
    <w:rsid w:val="00AF60F8"/>
    <w:rsid w:val="00B062E3"/>
    <w:rsid w:val="00B13938"/>
    <w:rsid w:val="00B27BDD"/>
    <w:rsid w:val="00B31634"/>
    <w:rsid w:val="00B37704"/>
    <w:rsid w:val="00B508AA"/>
    <w:rsid w:val="00B648D6"/>
    <w:rsid w:val="00B70D6C"/>
    <w:rsid w:val="00BB0CEC"/>
    <w:rsid w:val="00BF1283"/>
    <w:rsid w:val="00BF389E"/>
    <w:rsid w:val="00C00869"/>
    <w:rsid w:val="00C02D80"/>
    <w:rsid w:val="00C03737"/>
    <w:rsid w:val="00C2497A"/>
    <w:rsid w:val="00C3203D"/>
    <w:rsid w:val="00C3505B"/>
    <w:rsid w:val="00C8786C"/>
    <w:rsid w:val="00C90AA2"/>
    <w:rsid w:val="00C911C1"/>
    <w:rsid w:val="00C95867"/>
    <w:rsid w:val="00CA686E"/>
    <w:rsid w:val="00CC77DE"/>
    <w:rsid w:val="00CE1864"/>
    <w:rsid w:val="00CF3EDF"/>
    <w:rsid w:val="00D20931"/>
    <w:rsid w:val="00D403F5"/>
    <w:rsid w:val="00D61262"/>
    <w:rsid w:val="00D749E9"/>
    <w:rsid w:val="00DB1B51"/>
    <w:rsid w:val="00DB2796"/>
    <w:rsid w:val="00DE4DD5"/>
    <w:rsid w:val="00DF6957"/>
    <w:rsid w:val="00E2165D"/>
    <w:rsid w:val="00E30230"/>
    <w:rsid w:val="00E84F66"/>
    <w:rsid w:val="00EA027B"/>
    <w:rsid w:val="00EA70A7"/>
    <w:rsid w:val="00EB5612"/>
    <w:rsid w:val="00EC160D"/>
    <w:rsid w:val="00EC2E08"/>
    <w:rsid w:val="00EC5093"/>
    <w:rsid w:val="00EF018E"/>
    <w:rsid w:val="00F010F3"/>
    <w:rsid w:val="00F12278"/>
    <w:rsid w:val="00F619F6"/>
    <w:rsid w:val="00F8663B"/>
    <w:rsid w:val="00FA1DEE"/>
    <w:rsid w:val="00FA4A37"/>
    <w:rsid w:val="00FB7F9B"/>
    <w:rsid w:val="00FE5C0C"/>
    <w:rsid w:val="00FF1146"/>
    <w:rsid w:val="00FF5D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5AD8F"/>
  <w15:docId w15:val="{1DD25B1F-D5CF-4958-A4B1-87539BC9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272"/>
    <w:pPr>
      <w:ind w:left="720"/>
      <w:contextualSpacing/>
    </w:pPr>
  </w:style>
  <w:style w:type="paragraph" w:styleId="BalloonText">
    <w:name w:val="Balloon Text"/>
    <w:basedOn w:val="Normal"/>
    <w:link w:val="BalloonTextChar"/>
    <w:uiPriority w:val="99"/>
    <w:semiHidden/>
    <w:unhideWhenUsed/>
    <w:rsid w:val="00C90AA2"/>
    <w:rPr>
      <w:rFonts w:ascii="Tahoma" w:hAnsi="Tahoma" w:cs="Tahoma"/>
      <w:sz w:val="16"/>
      <w:szCs w:val="16"/>
    </w:rPr>
  </w:style>
  <w:style w:type="character" w:customStyle="1" w:styleId="BalloonTextChar">
    <w:name w:val="Balloon Text Char"/>
    <w:basedOn w:val="DefaultParagraphFont"/>
    <w:link w:val="BalloonText"/>
    <w:uiPriority w:val="99"/>
    <w:semiHidden/>
    <w:rsid w:val="00C90AA2"/>
    <w:rPr>
      <w:rFonts w:ascii="Tahoma" w:hAnsi="Tahoma" w:cs="Tahoma"/>
      <w:sz w:val="16"/>
      <w:szCs w:val="16"/>
    </w:rPr>
  </w:style>
  <w:style w:type="character" w:styleId="CommentReference">
    <w:name w:val="annotation reference"/>
    <w:basedOn w:val="DefaultParagraphFont"/>
    <w:uiPriority w:val="99"/>
    <w:semiHidden/>
    <w:unhideWhenUsed/>
    <w:rsid w:val="00EF018E"/>
    <w:rPr>
      <w:sz w:val="16"/>
      <w:szCs w:val="16"/>
    </w:rPr>
  </w:style>
  <w:style w:type="paragraph" w:styleId="CommentText">
    <w:name w:val="annotation text"/>
    <w:basedOn w:val="Normal"/>
    <w:link w:val="CommentTextChar"/>
    <w:uiPriority w:val="99"/>
    <w:unhideWhenUsed/>
    <w:rsid w:val="00EF018E"/>
    <w:rPr>
      <w:sz w:val="20"/>
      <w:szCs w:val="20"/>
    </w:rPr>
  </w:style>
  <w:style w:type="character" w:customStyle="1" w:styleId="CommentTextChar">
    <w:name w:val="Comment Text Char"/>
    <w:basedOn w:val="DefaultParagraphFont"/>
    <w:link w:val="CommentText"/>
    <w:uiPriority w:val="99"/>
    <w:rsid w:val="00EF018E"/>
    <w:rPr>
      <w:sz w:val="20"/>
      <w:szCs w:val="20"/>
    </w:rPr>
  </w:style>
  <w:style w:type="paragraph" w:styleId="CommentSubject">
    <w:name w:val="annotation subject"/>
    <w:basedOn w:val="CommentText"/>
    <w:next w:val="CommentText"/>
    <w:link w:val="CommentSubjectChar"/>
    <w:uiPriority w:val="99"/>
    <w:semiHidden/>
    <w:unhideWhenUsed/>
    <w:rsid w:val="00EF018E"/>
    <w:rPr>
      <w:b/>
      <w:bCs/>
    </w:rPr>
  </w:style>
  <w:style w:type="character" w:customStyle="1" w:styleId="CommentSubjectChar">
    <w:name w:val="Comment Subject Char"/>
    <w:basedOn w:val="CommentTextChar"/>
    <w:link w:val="CommentSubject"/>
    <w:uiPriority w:val="99"/>
    <w:semiHidden/>
    <w:rsid w:val="00EF018E"/>
    <w:rPr>
      <w:b/>
      <w:bCs/>
      <w:sz w:val="20"/>
      <w:szCs w:val="20"/>
    </w:rPr>
  </w:style>
  <w:style w:type="paragraph" w:styleId="Revision">
    <w:name w:val="Revision"/>
    <w:hidden/>
    <w:uiPriority w:val="99"/>
    <w:semiHidden/>
    <w:rsid w:val="000C4501"/>
  </w:style>
  <w:style w:type="character" w:customStyle="1" w:styleId="m-7895147398633130012gmail-m-3622054803077349492gmail-msofootnotereference">
    <w:name w:val="m_-7895147398633130012gmail-m_-3622054803077349492gmail-msofootnotereference"/>
    <w:basedOn w:val="DefaultParagraphFont"/>
    <w:rsid w:val="005D206A"/>
  </w:style>
  <w:style w:type="paragraph" w:styleId="EndnoteText">
    <w:name w:val="endnote text"/>
    <w:basedOn w:val="Normal"/>
    <w:link w:val="EndnoteTextChar"/>
    <w:uiPriority w:val="99"/>
    <w:semiHidden/>
    <w:unhideWhenUsed/>
    <w:rsid w:val="0077495E"/>
    <w:rPr>
      <w:sz w:val="20"/>
      <w:szCs w:val="20"/>
    </w:rPr>
  </w:style>
  <w:style w:type="character" w:customStyle="1" w:styleId="EndnoteTextChar">
    <w:name w:val="Endnote Text Char"/>
    <w:basedOn w:val="DefaultParagraphFont"/>
    <w:link w:val="EndnoteText"/>
    <w:uiPriority w:val="99"/>
    <w:semiHidden/>
    <w:rsid w:val="0077495E"/>
    <w:rPr>
      <w:sz w:val="20"/>
      <w:szCs w:val="20"/>
    </w:rPr>
  </w:style>
  <w:style w:type="character" w:styleId="EndnoteReference">
    <w:name w:val="endnote reference"/>
    <w:basedOn w:val="DefaultParagraphFont"/>
    <w:uiPriority w:val="99"/>
    <w:semiHidden/>
    <w:unhideWhenUsed/>
    <w:rsid w:val="0077495E"/>
    <w:rPr>
      <w:vertAlign w:val="superscript"/>
    </w:rPr>
  </w:style>
  <w:style w:type="paragraph" w:styleId="FootnoteText">
    <w:name w:val="footnote text"/>
    <w:basedOn w:val="Normal"/>
    <w:link w:val="FootnoteTextChar"/>
    <w:uiPriority w:val="99"/>
    <w:semiHidden/>
    <w:unhideWhenUsed/>
    <w:rsid w:val="0077495E"/>
    <w:rPr>
      <w:sz w:val="20"/>
      <w:szCs w:val="20"/>
    </w:rPr>
  </w:style>
  <w:style w:type="character" w:customStyle="1" w:styleId="FootnoteTextChar">
    <w:name w:val="Footnote Text Char"/>
    <w:basedOn w:val="DefaultParagraphFont"/>
    <w:link w:val="FootnoteText"/>
    <w:uiPriority w:val="99"/>
    <w:semiHidden/>
    <w:rsid w:val="0077495E"/>
    <w:rPr>
      <w:sz w:val="20"/>
      <w:szCs w:val="20"/>
    </w:rPr>
  </w:style>
  <w:style w:type="character" w:styleId="FootnoteReference">
    <w:name w:val="footnote reference"/>
    <w:basedOn w:val="DefaultParagraphFont"/>
    <w:uiPriority w:val="99"/>
    <w:semiHidden/>
    <w:unhideWhenUsed/>
    <w:rsid w:val="0077495E"/>
    <w:rPr>
      <w:vertAlign w:val="superscript"/>
    </w:rPr>
  </w:style>
  <w:style w:type="paragraph" w:styleId="Header">
    <w:name w:val="header"/>
    <w:basedOn w:val="Normal"/>
    <w:link w:val="HeaderChar"/>
    <w:uiPriority w:val="99"/>
    <w:unhideWhenUsed/>
    <w:rsid w:val="0077495E"/>
    <w:pPr>
      <w:tabs>
        <w:tab w:val="center" w:pos="4513"/>
        <w:tab w:val="right" w:pos="9026"/>
      </w:tabs>
    </w:pPr>
  </w:style>
  <w:style w:type="character" w:customStyle="1" w:styleId="HeaderChar">
    <w:name w:val="Header Char"/>
    <w:basedOn w:val="DefaultParagraphFont"/>
    <w:link w:val="Header"/>
    <w:uiPriority w:val="99"/>
    <w:rsid w:val="0077495E"/>
  </w:style>
  <w:style w:type="paragraph" w:styleId="Footer">
    <w:name w:val="footer"/>
    <w:basedOn w:val="Normal"/>
    <w:link w:val="FooterChar"/>
    <w:uiPriority w:val="99"/>
    <w:unhideWhenUsed/>
    <w:rsid w:val="0077495E"/>
    <w:pPr>
      <w:tabs>
        <w:tab w:val="center" w:pos="4513"/>
        <w:tab w:val="right" w:pos="9026"/>
      </w:tabs>
    </w:pPr>
  </w:style>
  <w:style w:type="character" w:customStyle="1" w:styleId="FooterChar">
    <w:name w:val="Footer Char"/>
    <w:basedOn w:val="DefaultParagraphFont"/>
    <w:link w:val="Footer"/>
    <w:uiPriority w:val="99"/>
    <w:rsid w:val="00774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0213">
      <w:bodyDiv w:val="1"/>
      <w:marLeft w:val="0"/>
      <w:marRight w:val="0"/>
      <w:marTop w:val="0"/>
      <w:marBottom w:val="0"/>
      <w:divBdr>
        <w:top w:val="none" w:sz="0" w:space="0" w:color="auto"/>
        <w:left w:val="none" w:sz="0" w:space="0" w:color="auto"/>
        <w:bottom w:val="none" w:sz="0" w:space="0" w:color="auto"/>
        <w:right w:val="none" w:sz="0" w:space="0" w:color="auto"/>
      </w:divBdr>
    </w:div>
    <w:div w:id="682056621">
      <w:bodyDiv w:val="1"/>
      <w:marLeft w:val="0"/>
      <w:marRight w:val="0"/>
      <w:marTop w:val="0"/>
      <w:marBottom w:val="0"/>
      <w:divBdr>
        <w:top w:val="none" w:sz="0" w:space="0" w:color="auto"/>
        <w:left w:val="none" w:sz="0" w:space="0" w:color="auto"/>
        <w:bottom w:val="none" w:sz="0" w:space="0" w:color="auto"/>
        <w:right w:val="none" w:sz="0" w:space="0" w:color="auto"/>
      </w:divBdr>
    </w:div>
    <w:div w:id="706758716">
      <w:bodyDiv w:val="1"/>
      <w:marLeft w:val="0"/>
      <w:marRight w:val="0"/>
      <w:marTop w:val="0"/>
      <w:marBottom w:val="0"/>
      <w:divBdr>
        <w:top w:val="none" w:sz="0" w:space="0" w:color="auto"/>
        <w:left w:val="none" w:sz="0" w:space="0" w:color="auto"/>
        <w:bottom w:val="none" w:sz="0" w:space="0" w:color="auto"/>
        <w:right w:val="none" w:sz="0" w:space="0" w:color="auto"/>
      </w:divBdr>
      <w:divsChild>
        <w:div w:id="1263414468">
          <w:marLeft w:val="475"/>
          <w:marRight w:val="0"/>
          <w:marTop w:val="180"/>
          <w:marBottom w:val="0"/>
          <w:divBdr>
            <w:top w:val="none" w:sz="0" w:space="0" w:color="auto"/>
            <w:left w:val="none" w:sz="0" w:space="0" w:color="auto"/>
            <w:bottom w:val="none" w:sz="0" w:space="0" w:color="auto"/>
            <w:right w:val="none" w:sz="0" w:space="0" w:color="auto"/>
          </w:divBdr>
        </w:div>
        <w:div w:id="1007709">
          <w:marLeft w:val="1138"/>
          <w:marRight w:val="0"/>
          <w:marTop w:val="180"/>
          <w:marBottom w:val="0"/>
          <w:divBdr>
            <w:top w:val="none" w:sz="0" w:space="0" w:color="auto"/>
            <w:left w:val="none" w:sz="0" w:space="0" w:color="auto"/>
            <w:bottom w:val="none" w:sz="0" w:space="0" w:color="auto"/>
            <w:right w:val="none" w:sz="0" w:space="0" w:color="auto"/>
          </w:divBdr>
        </w:div>
        <w:div w:id="1357661784">
          <w:marLeft w:val="1138"/>
          <w:marRight w:val="0"/>
          <w:marTop w:val="180"/>
          <w:marBottom w:val="0"/>
          <w:divBdr>
            <w:top w:val="none" w:sz="0" w:space="0" w:color="auto"/>
            <w:left w:val="none" w:sz="0" w:space="0" w:color="auto"/>
            <w:bottom w:val="none" w:sz="0" w:space="0" w:color="auto"/>
            <w:right w:val="none" w:sz="0" w:space="0" w:color="auto"/>
          </w:divBdr>
        </w:div>
      </w:divsChild>
    </w:div>
    <w:div w:id="919679935">
      <w:bodyDiv w:val="1"/>
      <w:marLeft w:val="0"/>
      <w:marRight w:val="0"/>
      <w:marTop w:val="0"/>
      <w:marBottom w:val="0"/>
      <w:divBdr>
        <w:top w:val="none" w:sz="0" w:space="0" w:color="auto"/>
        <w:left w:val="none" w:sz="0" w:space="0" w:color="auto"/>
        <w:bottom w:val="none" w:sz="0" w:space="0" w:color="auto"/>
        <w:right w:val="none" w:sz="0" w:space="0" w:color="auto"/>
      </w:divBdr>
      <w:divsChild>
        <w:div w:id="1208957926">
          <w:marLeft w:val="475"/>
          <w:marRight w:val="0"/>
          <w:marTop w:val="180"/>
          <w:marBottom w:val="0"/>
          <w:divBdr>
            <w:top w:val="none" w:sz="0" w:space="0" w:color="auto"/>
            <w:left w:val="none" w:sz="0" w:space="0" w:color="auto"/>
            <w:bottom w:val="none" w:sz="0" w:space="0" w:color="auto"/>
            <w:right w:val="none" w:sz="0" w:space="0" w:color="auto"/>
          </w:divBdr>
        </w:div>
        <w:div w:id="2556769">
          <w:marLeft w:val="475"/>
          <w:marRight w:val="0"/>
          <w:marTop w:val="180"/>
          <w:marBottom w:val="0"/>
          <w:divBdr>
            <w:top w:val="none" w:sz="0" w:space="0" w:color="auto"/>
            <w:left w:val="none" w:sz="0" w:space="0" w:color="auto"/>
            <w:bottom w:val="none" w:sz="0" w:space="0" w:color="auto"/>
            <w:right w:val="none" w:sz="0" w:space="0" w:color="auto"/>
          </w:divBdr>
        </w:div>
        <w:div w:id="827675846">
          <w:marLeft w:val="1123"/>
          <w:marRight w:val="0"/>
          <w:marTop w:val="180"/>
          <w:marBottom w:val="0"/>
          <w:divBdr>
            <w:top w:val="none" w:sz="0" w:space="0" w:color="auto"/>
            <w:left w:val="none" w:sz="0" w:space="0" w:color="auto"/>
            <w:bottom w:val="none" w:sz="0" w:space="0" w:color="auto"/>
            <w:right w:val="none" w:sz="0" w:space="0" w:color="auto"/>
          </w:divBdr>
        </w:div>
        <w:div w:id="720590016">
          <w:marLeft w:val="475"/>
          <w:marRight w:val="0"/>
          <w:marTop w:val="180"/>
          <w:marBottom w:val="0"/>
          <w:divBdr>
            <w:top w:val="none" w:sz="0" w:space="0" w:color="auto"/>
            <w:left w:val="none" w:sz="0" w:space="0" w:color="auto"/>
            <w:bottom w:val="none" w:sz="0" w:space="0" w:color="auto"/>
            <w:right w:val="none" w:sz="0" w:space="0" w:color="auto"/>
          </w:divBdr>
        </w:div>
        <w:div w:id="1492136586">
          <w:marLeft w:val="1123"/>
          <w:marRight w:val="0"/>
          <w:marTop w:val="180"/>
          <w:marBottom w:val="0"/>
          <w:divBdr>
            <w:top w:val="none" w:sz="0" w:space="0" w:color="auto"/>
            <w:left w:val="none" w:sz="0" w:space="0" w:color="auto"/>
            <w:bottom w:val="none" w:sz="0" w:space="0" w:color="auto"/>
            <w:right w:val="none" w:sz="0" w:space="0" w:color="auto"/>
          </w:divBdr>
        </w:div>
        <w:div w:id="602961442">
          <w:marLeft w:val="1123"/>
          <w:marRight w:val="0"/>
          <w:marTop w:val="180"/>
          <w:marBottom w:val="0"/>
          <w:divBdr>
            <w:top w:val="none" w:sz="0" w:space="0" w:color="auto"/>
            <w:left w:val="none" w:sz="0" w:space="0" w:color="auto"/>
            <w:bottom w:val="none" w:sz="0" w:space="0" w:color="auto"/>
            <w:right w:val="none" w:sz="0" w:space="0" w:color="auto"/>
          </w:divBdr>
        </w:div>
        <w:div w:id="1396318663">
          <w:marLeft w:val="475"/>
          <w:marRight w:val="0"/>
          <w:marTop w:val="180"/>
          <w:marBottom w:val="0"/>
          <w:divBdr>
            <w:top w:val="none" w:sz="0" w:space="0" w:color="auto"/>
            <w:left w:val="none" w:sz="0" w:space="0" w:color="auto"/>
            <w:bottom w:val="none" w:sz="0" w:space="0" w:color="auto"/>
            <w:right w:val="none" w:sz="0" w:space="0" w:color="auto"/>
          </w:divBdr>
        </w:div>
        <w:div w:id="1223440546">
          <w:marLeft w:val="1123"/>
          <w:marRight w:val="0"/>
          <w:marTop w:val="180"/>
          <w:marBottom w:val="0"/>
          <w:divBdr>
            <w:top w:val="none" w:sz="0" w:space="0" w:color="auto"/>
            <w:left w:val="none" w:sz="0" w:space="0" w:color="auto"/>
            <w:bottom w:val="none" w:sz="0" w:space="0" w:color="auto"/>
            <w:right w:val="none" w:sz="0" w:space="0" w:color="auto"/>
          </w:divBdr>
        </w:div>
        <w:div w:id="79303719">
          <w:marLeft w:val="1123"/>
          <w:marRight w:val="0"/>
          <w:marTop w:val="180"/>
          <w:marBottom w:val="0"/>
          <w:divBdr>
            <w:top w:val="none" w:sz="0" w:space="0" w:color="auto"/>
            <w:left w:val="none" w:sz="0" w:space="0" w:color="auto"/>
            <w:bottom w:val="none" w:sz="0" w:space="0" w:color="auto"/>
            <w:right w:val="none" w:sz="0" w:space="0" w:color="auto"/>
          </w:divBdr>
        </w:div>
      </w:divsChild>
    </w:div>
    <w:div w:id="1012224172">
      <w:bodyDiv w:val="1"/>
      <w:marLeft w:val="0"/>
      <w:marRight w:val="0"/>
      <w:marTop w:val="0"/>
      <w:marBottom w:val="0"/>
      <w:divBdr>
        <w:top w:val="none" w:sz="0" w:space="0" w:color="auto"/>
        <w:left w:val="none" w:sz="0" w:space="0" w:color="auto"/>
        <w:bottom w:val="none" w:sz="0" w:space="0" w:color="auto"/>
        <w:right w:val="none" w:sz="0" w:space="0" w:color="auto"/>
      </w:divBdr>
      <w:divsChild>
        <w:div w:id="1286816295">
          <w:marLeft w:val="475"/>
          <w:marRight w:val="0"/>
          <w:marTop w:val="180"/>
          <w:marBottom w:val="0"/>
          <w:divBdr>
            <w:top w:val="none" w:sz="0" w:space="0" w:color="auto"/>
            <w:left w:val="none" w:sz="0" w:space="0" w:color="auto"/>
            <w:bottom w:val="none" w:sz="0" w:space="0" w:color="auto"/>
            <w:right w:val="none" w:sz="0" w:space="0" w:color="auto"/>
          </w:divBdr>
        </w:div>
        <w:div w:id="168255569">
          <w:marLeft w:val="1138"/>
          <w:marRight w:val="0"/>
          <w:marTop w:val="180"/>
          <w:marBottom w:val="0"/>
          <w:divBdr>
            <w:top w:val="none" w:sz="0" w:space="0" w:color="auto"/>
            <w:left w:val="none" w:sz="0" w:space="0" w:color="auto"/>
            <w:bottom w:val="none" w:sz="0" w:space="0" w:color="auto"/>
            <w:right w:val="none" w:sz="0" w:space="0" w:color="auto"/>
          </w:divBdr>
        </w:div>
        <w:div w:id="247422370">
          <w:marLeft w:val="1138"/>
          <w:marRight w:val="0"/>
          <w:marTop w:val="180"/>
          <w:marBottom w:val="0"/>
          <w:divBdr>
            <w:top w:val="none" w:sz="0" w:space="0" w:color="auto"/>
            <w:left w:val="none" w:sz="0" w:space="0" w:color="auto"/>
            <w:bottom w:val="none" w:sz="0" w:space="0" w:color="auto"/>
            <w:right w:val="none" w:sz="0" w:space="0" w:color="auto"/>
          </w:divBdr>
        </w:div>
      </w:divsChild>
    </w:div>
    <w:div w:id="1170753351">
      <w:bodyDiv w:val="1"/>
      <w:marLeft w:val="0"/>
      <w:marRight w:val="0"/>
      <w:marTop w:val="0"/>
      <w:marBottom w:val="0"/>
      <w:divBdr>
        <w:top w:val="none" w:sz="0" w:space="0" w:color="auto"/>
        <w:left w:val="none" w:sz="0" w:space="0" w:color="auto"/>
        <w:bottom w:val="none" w:sz="0" w:space="0" w:color="auto"/>
        <w:right w:val="none" w:sz="0" w:space="0" w:color="auto"/>
      </w:divBdr>
    </w:div>
    <w:div w:id="1193609585">
      <w:bodyDiv w:val="1"/>
      <w:marLeft w:val="0"/>
      <w:marRight w:val="0"/>
      <w:marTop w:val="0"/>
      <w:marBottom w:val="0"/>
      <w:divBdr>
        <w:top w:val="none" w:sz="0" w:space="0" w:color="auto"/>
        <w:left w:val="none" w:sz="0" w:space="0" w:color="auto"/>
        <w:bottom w:val="none" w:sz="0" w:space="0" w:color="auto"/>
        <w:right w:val="none" w:sz="0" w:space="0" w:color="auto"/>
      </w:divBdr>
      <w:divsChild>
        <w:div w:id="1868375442">
          <w:marLeft w:val="475"/>
          <w:marRight w:val="0"/>
          <w:marTop w:val="180"/>
          <w:marBottom w:val="0"/>
          <w:divBdr>
            <w:top w:val="none" w:sz="0" w:space="0" w:color="auto"/>
            <w:left w:val="none" w:sz="0" w:space="0" w:color="auto"/>
            <w:bottom w:val="none" w:sz="0" w:space="0" w:color="auto"/>
            <w:right w:val="none" w:sz="0" w:space="0" w:color="auto"/>
          </w:divBdr>
        </w:div>
        <w:div w:id="1444416638">
          <w:marLeft w:val="475"/>
          <w:marRight w:val="0"/>
          <w:marTop w:val="180"/>
          <w:marBottom w:val="0"/>
          <w:divBdr>
            <w:top w:val="none" w:sz="0" w:space="0" w:color="auto"/>
            <w:left w:val="none" w:sz="0" w:space="0" w:color="auto"/>
            <w:bottom w:val="none" w:sz="0" w:space="0" w:color="auto"/>
            <w:right w:val="none" w:sz="0" w:space="0" w:color="auto"/>
          </w:divBdr>
        </w:div>
      </w:divsChild>
    </w:div>
    <w:div w:id="1886404799">
      <w:bodyDiv w:val="1"/>
      <w:marLeft w:val="0"/>
      <w:marRight w:val="0"/>
      <w:marTop w:val="0"/>
      <w:marBottom w:val="0"/>
      <w:divBdr>
        <w:top w:val="none" w:sz="0" w:space="0" w:color="auto"/>
        <w:left w:val="none" w:sz="0" w:space="0" w:color="auto"/>
        <w:bottom w:val="none" w:sz="0" w:space="0" w:color="auto"/>
        <w:right w:val="none" w:sz="0" w:space="0" w:color="auto"/>
      </w:divBdr>
      <w:divsChild>
        <w:div w:id="332298975">
          <w:marLeft w:val="475"/>
          <w:marRight w:val="0"/>
          <w:marTop w:val="180"/>
          <w:marBottom w:val="0"/>
          <w:divBdr>
            <w:top w:val="none" w:sz="0" w:space="0" w:color="auto"/>
            <w:left w:val="none" w:sz="0" w:space="0" w:color="auto"/>
            <w:bottom w:val="none" w:sz="0" w:space="0" w:color="auto"/>
            <w:right w:val="none" w:sz="0" w:space="0" w:color="auto"/>
          </w:divBdr>
        </w:div>
        <w:div w:id="478310110">
          <w:marLeft w:val="475"/>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348E-0C55-4D48-AF28-82293F64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Eisai</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Butler</dc:creator>
  <cp:lastModifiedBy>Microsoft Office User</cp:lastModifiedBy>
  <cp:revision>2</cp:revision>
  <cp:lastPrinted>2017-03-15T14:42:00Z</cp:lastPrinted>
  <dcterms:created xsi:type="dcterms:W3CDTF">2019-10-17T07:11:00Z</dcterms:created>
  <dcterms:modified xsi:type="dcterms:W3CDTF">2019-10-17T07:11:00Z</dcterms:modified>
</cp:coreProperties>
</file>