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BCB63" w14:textId="77777777" w:rsidR="000318A3" w:rsidRDefault="000318A3">
      <w:pPr>
        <w:pStyle w:val="RefAgency"/>
        <w:tabs>
          <w:tab w:val="left" w:pos="1277"/>
        </w:tabs>
      </w:pPr>
    </w:p>
    <w:p w14:paraId="7C2FD3D9" w14:textId="2A2F03D4" w:rsidR="00783391" w:rsidRDefault="00E13149">
      <w:pPr>
        <w:pStyle w:val="RefAgency"/>
        <w:tabs>
          <w:tab w:val="left" w:pos="1277"/>
        </w:tabs>
      </w:pPr>
      <w:r>
        <w:t>13 December 2018</w:t>
      </w:r>
    </w:p>
    <w:p w14:paraId="51DF2630" w14:textId="77777777" w:rsidR="00783391" w:rsidRDefault="00783391">
      <w:pPr>
        <w:pStyle w:val="RefAgency"/>
        <w:tabs>
          <w:tab w:val="left" w:pos="1277"/>
        </w:tabs>
      </w:pPr>
    </w:p>
    <w:p w14:paraId="78C8F11A" w14:textId="77777777" w:rsidR="00783391" w:rsidRPr="00B822FC" w:rsidRDefault="00783391">
      <w:pPr>
        <w:pStyle w:val="RefAgency"/>
        <w:tabs>
          <w:tab w:val="left" w:pos="1277"/>
        </w:tabs>
      </w:pPr>
    </w:p>
    <w:p w14:paraId="4FD66157" w14:textId="382F39A0" w:rsidR="00783391" w:rsidRDefault="00783391">
      <w:pPr>
        <w:pStyle w:val="DoctitleAgency"/>
      </w:pPr>
      <w:bookmarkStart w:id="0" w:name="Head"/>
      <w:bookmarkEnd w:id="0"/>
      <w:r w:rsidRPr="00F308FD">
        <w:t>Submission of comments on</w:t>
      </w:r>
      <w:r>
        <w:t xml:space="preserve"> '</w:t>
      </w:r>
      <w:r w:rsidR="00927670">
        <w:t>Concept paper on the need for revision of the guideline on the investigation of medicinal products in the term and preterm neonate</w:t>
      </w:r>
      <w:r>
        <w:t>' (</w:t>
      </w:r>
      <w:r w:rsidR="00927670">
        <w:t>EMA/PDCO/362462/2016</w:t>
      </w:r>
      <w:r>
        <w:t>)</w:t>
      </w:r>
    </w:p>
    <w:p w14:paraId="6E6119D9" w14:textId="77777777" w:rsidR="00783391" w:rsidRDefault="00783391">
      <w:pPr>
        <w:pStyle w:val="DocsubtitleAgency"/>
      </w:pPr>
    </w:p>
    <w:p w14:paraId="1E299278" w14:textId="77777777" w:rsidR="00783391" w:rsidRPr="00B822FC" w:rsidRDefault="00783391">
      <w:pPr>
        <w:pStyle w:val="No-TOCheadingAgency"/>
      </w:pPr>
      <w:r w:rsidRPr="00B822FC">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413"/>
      </w:tblGrid>
      <w:tr w:rsidR="00783391" w:rsidRPr="00FC77C1" w14:paraId="532C1BB9" w14:textId="77777777" w:rsidTr="00416A4F">
        <w:trPr>
          <w:tblHeader/>
        </w:trPr>
        <w:tc>
          <w:tcPr>
            <w:tcW w:w="5000" w:type="pct"/>
            <w:tcBorders>
              <w:top w:val="nil"/>
              <w:left w:val="nil"/>
              <w:bottom w:val="nil"/>
              <w:right w:val="nil"/>
              <w:tl2br w:val="nil"/>
              <w:tr2bl w:val="nil"/>
            </w:tcBorders>
            <w:shd w:val="clear" w:color="auto" w:fill="003399"/>
          </w:tcPr>
          <w:p w14:paraId="3BE4CA27" w14:textId="77777777" w:rsidR="00783391" w:rsidRPr="00FC77C1" w:rsidRDefault="00783391">
            <w:pPr>
              <w:pStyle w:val="TableheadingrowsAgency"/>
              <w:rPr>
                <w:b w:val="0"/>
              </w:rPr>
            </w:pPr>
            <w:r>
              <w:rPr>
                <w:b w:val="0"/>
              </w:rPr>
              <w:t>Name of o</w:t>
            </w:r>
            <w:r w:rsidRPr="00FC77C1">
              <w:rPr>
                <w:b w:val="0"/>
              </w:rPr>
              <w:t>rganisation or individual</w:t>
            </w:r>
          </w:p>
        </w:tc>
      </w:tr>
      <w:tr w:rsidR="00783391" w:rsidRPr="00B822FC" w14:paraId="04085730" w14:textId="77777777" w:rsidTr="00416A4F">
        <w:tc>
          <w:tcPr>
            <w:tcW w:w="5000" w:type="pct"/>
            <w:shd w:val="clear" w:color="auto" w:fill="E1E3F2"/>
          </w:tcPr>
          <w:p w14:paraId="5E307514" w14:textId="04254881" w:rsidR="00783391" w:rsidRPr="00B822FC" w:rsidRDefault="008360D5">
            <w:pPr>
              <w:pStyle w:val="TabletextrowsAgency"/>
            </w:pPr>
            <w:r>
              <w:t>EFPIA</w:t>
            </w:r>
          </w:p>
        </w:tc>
      </w:tr>
    </w:tbl>
    <w:p w14:paraId="4F057486" w14:textId="77777777" w:rsidR="00783391" w:rsidRDefault="00783391">
      <w:pPr>
        <w:pStyle w:val="BodytextAgency"/>
      </w:pPr>
    </w:p>
    <w:p w14:paraId="1F541957" w14:textId="77777777" w:rsidR="00783391" w:rsidRPr="00561BA0" w:rsidRDefault="00783391">
      <w:pPr>
        <w:pStyle w:val="BodytextAgency"/>
        <w:rPr>
          <w:i/>
        </w:rPr>
      </w:pPr>
      <w:r w:rsidRPr="00561BA0">
        <w:rPr>
          <w:i/>
        </w:rPr>
        <w:t>Please note that these comments and the identity of the sender will be published unless a specific justified objection is received.</w:t>
      </w:r>
    </w:p>
    <w:p w14:paraId="785CDE37" w14:textId="77777777" w:rsidR="00783391" w:rsidRPr="00561BA0" w:rsidRDefault="00783391">
      <w:pPr>
        <w:pStyle w:val="BodytextAgency"/>
        <w:rPr>
          <w:i/>
        </w:rPr>
      </w:pPr>
      <w:r>
        <w:rPr>
          <w:i/>
        </w:rPr>
        <w:t>When completed, this form should be sent</w:t>
      </w:r>
      <w:r w:rsidRPr="00561BA0">
        <w:rPr>
          <w:i/>
        </w:rPr>
        <w:t xml:space="preserve"> to the European Medicines Agency</w:t>
      </w:r>
      <w:r>
        <w:rPr>
          <w:i/>
        </w:rPr>
        <w:t xml:space="preserve"> electronically, in Word format (not PDF</w:t>
      </w:r>
      <w:r w:rsidRPr="00561BA0">
        <w:rPr>
          <w:i/>
        </w:rPr>
        <w:t>)</w:t>
      </w:r>
      <w:r>
        <w:rPr>
          <w:i/>
        </w:rPr>
        <w:t>.</w:t>
      </w:r>
    </w:p>
    <w:p w14:paraId="1DC5EC5A" w14:textId="77777777" w:rsidR="00783391" w:rsidRPr="00E43F9C" w:rsidRDefault="00783391">
      <w:pPr>
        <w:pStyle w:val="BodytextAgency"/>
      </w:pPr>
    </w:p>
    <w:p w14:paraId="4D0902A6" w14:textId="77777777" w:rsidR="00783391" w:rsidRPr="00B822FC" w:rsidRDefault="00783391">
      <w:pPr>
        <w:pStyle w:val="BodytextAgency"/>
      </w:pPr>
    </w:p>
    <w:p w14:paraId="6DB77EDB" w14:textId="77777777" w:rsidR="00783391" w:rsidRPr="00B822FC" w:rsidRDefault="00783391">
      <w:pPr>
        <w:pStyle w:val="BodytextAgency"/>
        <w:sectPr w:rsidR="00783391" w:rsidRPr="00B822FC">
          <w:footerReference w:type="default" r:id="rId8"/>
          <w:headerReference w:type="first" r:id="rId9"/>
          <w:footerReference w:type="first" r:id="rId10"/>
          <w:pgSz w:w="11907" w:h="16839" w:code="9"/>
          <w:pgMar w:top="1418" w:right="1247" w:bottom="1418" w:left="1247" w:header="284" w:footer="680" w:gutter="0"/>
          <w:cols w:space="720"/>
          <w:titlePg/>
          <w:docGrid w:linePitch="326"/>
        </w:sectPr>
      </w:pPr>
    </w:p>
    <w:p w14:paraId="338A8E9F" w14:textId="77777777" w:rsidR="00783391" w:rsidRPr="00B822FC" w:rsidRDefault="00783391">
      <w:pPr>
        <w:pStyle w:val="Heading1Agency"/>
      </w:pPr>
      <w:r w:rsidRPr="00B822FC">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471"/>
        <w:gridCol w:w="5359"/>
        <w:gridCol w:w="6740"/>
      </w:tblGrid>
      <w:tr w:rsidR="00783391" w:rsidRPr="00416A4F" w14:paraId="2C7BFA6D" w14:textId="77777777" w:rsidTr="00416A4F">
        <w:trPr>
          <w:tblHeader/>
        </w:trPr>
        <w:tc>
          <w:tcPr>
            <w:tcW w:w="848" w:type="pct"/>
            <w:tcBorders>
              <w:top w:val="nil"/>
              <w:left w:val="nil"/>
              <w:bottom w:val="nil"/>
              <w:right w:val="nil"/>
              <w:tl2br w:val="nil"/>
              <w:tr2bl w:val="nil"/>
            </w:tcBorders>
            <w:shd w:val="clear" w:color="auto" w:fill="003399"/>
          </w:tcPr>
          <w:p w14:paraId="658E355D" w14:textId="77777777" w:rsidR="00783391" w:rsidRPr="00416A4F" w:rsidRDefault="00783391">
            <w:pPr>
              <w:pStyle w:val="TableheadingrowsAgency"/>
              <w:rPr>
                <w:b w:val="0"/>
                <w:bCs/>
              </w:rPr>
            </w:pPr>
            <w:r w:rsidRPr="00416A4F">
              <w:rPr>
                <w:b w:val="0"/>
                <w:bCs/>
              </w:rPr>
              <w:t>Stakeholder number</w:t>
            </w:r>
          </w:p>
          <w:p w14:paraId="1BA21531" w14:textId="77777777" w:rsidR="00783391" w:rsidRPr="00416A4F" w:rsidRDefault="00783391">
            <w:pPr>
              <w:pStyle w:val="TableheadingrowsAgency"/>
              <w:rPr>
                <w:b w:val="0"/>
                <w:bCs/>
                <w:i/>
                <w:color w:val="339966"/>
              </w:rPr>
            </w:pPr>
            <w:r w:rsidRPr="00416A4F">
              <w:rPr>
                <w:b w:val="0"/>
                <w:i/>
                <w:color w:val="339966"/>
              </w:rPr>
              <w:t>(To be completed by the Agency)</w:t>
            </w:r>
          </w:p>
        </w:tc>
        <w:tc>
          <w:tcPr>
            <w:tcW w:w="1839" w:type="pct"/>
            <w:tcBorders>
              <w:top w:val="nil"/>
              <w:left w:val="nil"/>
              <w:bottom w:val="nil"/>
              <w:right w:val="nil"/>
              <w:tl2br w:val="nil"/>
              <w:tr2bl w:val="nil"/>
            </w:tcBorders>
            <w:shd w:val="clear" w:color="auto" w:fill="003399"/>
          </w:tcPr>
          <w:p w14:paraId="3413BB90" w14:textId="77777777" w:rsidR="00783391" w:rsidRPr="00416A4F" w:rsidRDefault="00783391">
            <w:pPr>
              <w:pStyle w:val="TableheadingrowsAgency"/>
              <w:rPr>
                <w:b w:val="0"/>
                <w:bCs/>
              </w:rPr>
            </w:pPr>
            <w:r w:rsidRPr="00416A4F">
              <w:rPr>
                <w:b w:val="0"/>
                <w:bCs/>
              </w:rPr>
              <w:t>General comment (if any)</w:t>
            </w:r>
          </w:p>
        </w:tc>
        <w:tc>
          <w:tcPr>
            <w:tcW w:w="2313" w:type="pct"/>
            <w:tcBorders>
              <w:top w:val="nil"/>
              <w:left w:val="nil"/>
              <w:bottom w:val="nil"/>
              <w:right w:val="nil"/>
              <w:tl2br w:val="nil"/>
              <w:tr2bl w:val="nil"/>
            </w:tcBorders>
            <w:shd w:val="clear" w:color="auto" w:fill="003399"/>
          </w:tcPr>
          <w:p w14:paraId="740F5714" w14:textId="77777777" w:rsidR="00783391" w:rsidRPr="00416A4F" w:rsidRDefault="00783391">
            <w:pPr>
              <w:pStyle w:val="TableheadingrowsAgency"/>
              <w:rPr>
                <w:b w:val="0"/>
                <w:bCs/>
              </w:rPr>
            </w:pPr>
            <w:r w:rsidRPr="00416A4F">
              <w:rPr>
                <w:b w:val="0"/>
                <w:bCs/>
              </w:rPr>
              <w:t>Outcome (if applicable)</w:t>
            </w:r>
          </w:p>
          <w:p w14:paraId="0B8C9D52" w14:textId="77777777" w:rsidR="00783391" w:rsidRPr="00416A4F" w:rsidRDefault="00783391">
            <w:pPr>
              <w:pStyle w:val="TableheadingrowsAgency"/>
              <w:rPr>
                <w:b w:val="0"/>
                <w:bCs/>
                <w:i/>
                <w:color w:val="339966"/>
              </w:rPr>
            </w:pPr>
            <w:r w:rsidRPr="00416A4F">
              <w:rPr>
                <w:b w:val="0"/>
                <w:i/>
                <w:color w:val="339966"/>
              </w:rPr>
              <w:t>(To be completed by the Agency)</w:t>
            </w:r>
          </w:p>
        </w:tc>
      </w:tr>
      <w:tr w:rsidR="00783391" w14:paraId="0B55DBEA" w14:textId="77777777" w:rsidTr="00416A4F">
        <w:tc>
          <w:tcPr>
            <w:tcW w:w="848" w:type="pct"/>
            <w:shd w:val="clear" w:color="auto" w:fill="E1E3F2"/>
          </w:tcPr>
          <w:p w14:paraId="2B4304CF" w14:textId="77777777" w:rsidR="00783391" w:rsidRDefault="00783391">
            <w:pPr>
              <w:pStyle w:val="TabletextrowsAgency"/>
            </w:pPr>
          </w:p>
        </w:tc>
        <w:tc>
          <w:tcPr>
            <w:tcW w:w="1839" w:type="pct"/>
            <w:shd w:val="clear" w:color="auto" w:fill="E1E3F2"/>
          </w:tcPr>
          <w:p w14:paraId="6845B194" w14:textId="27B45471" w:rsidR="003D2450" w:rsidRPr="00193704" w:rsidRDefault="00067E1C" w:rsidP="00215CF5">
            <w:pPr>
              <w:jc w:val="both"/>
              <w:rPr>
                <w:rFonts w:cs="Arial"/>
                <w:lang w:val="en-US"/>
              </w:rPr>
            </w:pPr>
            <w:r w:rsidRPr="00193704">
              <w:rPr>
                <w:rFonts w:cs="Arial"/>
                <w:lang w:val="en-US"/>
              </w:rPr>
              <w:t xml:space="preserve">EFPIA welcomes the possibility to comment on this very relevant concept paper. </w:t>
            </w:r>
            <w:r w:rsidRPr="00193704">
              <w:t xml:space="preserve">Since </w:t>
            </w:r>
            <w:r w:rsidR="003D2450" w:rsidRPr="00700E33">
              <w:t xml:space="preserve">the current guideline already provides a solid foundation for drug development in this special </w:t>
            </w:r>
            <w:r w:rsidR="00223BCD" w:rsidRPr="00193704">
              <w:t>population,</w:t>
            </w:r>
            <w:r w:rsidR="003D2450" w:rsidRPr="00193704">
              <w:t xml:space="preserve"> it is hoped that any revision will simply build on the current content with new approaches, such as the use of high quality real world evidence (e.g., historic comparators). </w:t>
            </w:r>
          </w:p>
          <w:p w14:paraId="5D1E4B86" w14:textId="77777777" w:rsidR="00700636" w:rsidRPr="00700E33" w:rsidRDefault="00700636" w:rsidP="00FF22DA">
            <w:pPr>
              <w:spacing w:line="276" w:lineRule="auto"/>
            </w:pPr>
          </w:p>
          <w:p w14:paraId="75336B8D" w14:textId="43337C9A" w:rsidR="00700E33" w:rsidRDefault="00700E33" w:rsidP="00FF22DA">
            <w:pPr>
              <w:spacing w:line="276" w:lineRule="auto"/>
            </w:pPr>
            <w:r>
              <w:t>Consider covering the following items in the updated guideline:</w:t>
            </w:r>
          </w:p>
          <w:p w14:paraId="568815A0" w14:textId="77777777" w:rsidR="00700E33" w:rsidRDefault="00700E33" w:rsidP="00FF22DA">
            <w:pPr>
              <w:spacing w:line="276" w:lineRule="auto"/>
            </w:pPr>
          </w:p>
          <w:p w14:paraId="35DFDA49" w14:textId="7CFABC1F" w:rsidR="00700636" w:rsidRPr="00700E33" w:rsidRDefault="00700E33" w:rsidP="007C163B">
            <w:pPr>
              <w:pStyle w:val="ListParagraph"/>
              <w:numPr>
                <w:ilvl w:val="0"/>
                <w:numId w:val="37"/>
              </w:numPr>
              <w:spacing w:line="276" w:lineRule="auto"/>
              <w:rPr>
                <w:lang w:val="en-US"/>
              </w:rPr>
            </w:pPr>
            <w:r>
              <w:t>D</w:t>
            </w:r>
            <w:r w:rsidR="00700636" w:rsidRPr="008C1DDE">
              <w:t>rug-drug interaction studies</w:t>
            </w:r>
            <w:r>
              <w:t>:</w:t>
            </w:r>
            <w:r w:rsidR="00700636" w:rsidRPr="008C1DDE">
              <w:t xml:space="preserve"> </w:t>
            </w:r>
            <w:r>
              <w:rPr>
                <w:lang w:val="en-US"/>
              </w:rPr>
              <w:t>d</w:t>
            </w:r>
            <w:r w:rsidRPr="00700E33">
              <w:rPr>
                <w:lang w:val="en-US"/>
              </w:rPr>
              <w:t xml:space="preserve">ue to scarcity of certain drug combinations in neonatal use, </w:t>
            </w:r>
            <w:r>
              <w:rPr>
                <w:lang w:val="en-US"/>
              </w:rPr>
              <w:t xml:space="preserve">there is </w:t>
            </w:r>
            <w:r w:rsidRPr="00700E33">
              <w:rPr>
                <w:lang w:val="en-US"/>
              </w:rPr>
              <w:t>a need to identify potential risk in small numbers of patients.</w:t>
            </w:r>
            <w:r>
              <w:t xml:space="preserve"> It</w:t>
            </w:r>
            <w:r w:rsidRPr="008C1DDE">
              <w:t xml:space="preserve"> </w:t>
            </w:r>
            <w:r w:rsidR="00700636" w:rsidRPr="008C1DDE">
              <w:t xml:space="preserve">would </w:t>
            </w:r>
            <w:r>
              <w:t xml:space="preserve">also </w:t>
            </w:r>
            <w:r w:rsidR="00700636" w:rsidRPr="008C1DDE">
              <w:t xml:space="preserve">be helpful to include </w:t>
            </w:r>
            <w:r w:rsidR="00700636" w:rsidRPr="00700E33">
              <w:rPr>
                <w:lang w:val="en-US"/>
              </w:rPr>
              <w:t>a list of potential drug-drug interactions that do not warrant a warning for use in neonates</w:t>
            </w:r>
            <w:r>
              <w:rPr>
                <w:lang w:val="en-US"/>
              </w:rPr>
              <w:t xml:space="preserve">. </w:t>
            </w:r>
          </w:p>
          <w:p w14:paraId="41927AE3" w14:textId="77777777" w:rsidR="003D2450" w:rsidRPr="003D2450" w:rsidRDefault="003D2450" w:rsidP="00FF22DA">
            <w:pPr>
              <w:spacing w:line="276" w:lineRule="auto"/>
              <w:rPr>
                <w:rFonts w:ascii="Arial" w:hAnsi="Arial" w:cs="Arial"/>
                <w:sz w:val="20"/>
                <w:szCs w:val="20"/>
              </w:rPr>
            </w:pPr>
          </w:p>
          <w:p w14:paraId="0A2CFABB" w14:textId="0A090A1E" w:rsidR="00067E1C" w:rsidRDefault="00067E1C" w:rsidP="007C163B">
            <w:pPr>
              <w:pStyle w:val="ListParagraph"/>
              <w:numPr>
                <w:ilvl w:val="0"/>
                <w:numId w:val="37"/>
              </w:numPr>
              <w:autoSpaceDE w:val="0"/>
              <w:autoSpaceDN w:val="0"/>
              <w:adjustRightInd w:val="0"/>
            </w:pPr>
            <w:r>
              <w:t xml:space="preserve">An item for </w:t>
            </w:r>
            <w:r w:rsidR="00160638">
              <w:t xml:space="preserve">neonatal </w:t>
            </w:r>
            <w:r w:rsidR="00D71936">
              <w:t>registries</w:t>
            </w:r>
            <w:r>
              <w:t xml:space="preserve"> (methods and uses as well as the e-HR implementation) could be considered.</w:t>
            </w:r>
          </w:p>
          <w:p w14:paraId="6C548F7A" w14:textId="77777777" w:rsidR="00067E1C" w:rsidRDefault="00067E1C" w:rsidP="00FF22DA">
            <w:pPr>
              <w:spacing w:line="276" w:lineRule="auto"/>
            </w:pPr>
          </w:p>
          <w:p w14:paraId="4384DF20" w14:textId="1686E97F" w:rsidR="00067E1C" w:rsidRDefault="00067E1C" w:rsidP="007C163B">
            <w:pPr>
              <w:pStyle w:val="ListParagraph"/>
              <w:numPr>
                <w:ilvl w:val="0"/>
                <w:numId w:val="37"/>
              </w:numPr>
              <w:spacing w:line="276" w:lineRule="auto"/>
            </w:pPr>
            <w:r>
              <w:t>An item for use of biological compounds (e.g.: monoclonal antibodies) in this target population could be considered.</w:t>
            </w:r>
          </w:p>
          <w:p w14:paraId="45B4D579" w14:textId="50B87A3D" w:rsidR="00067E1C" w:rsidRDefault="00067E1C" w:rsidP="00FF22DA">
            <w:pPr>
              <w:spacing w:line="276" w:lineRule="auto"/>
            </w:pPr>
          </w:p>
          <w:p w14:paraId="5E0A4317" w14:textId="03112353" w:rsidR="000544EB" w:rsidRPr="00193704" w:rsidRDefault="000544EB" w:rsidP="007C163B">
            <w:pPr>
              <w:pStyle w:val="ListParagraph"/>
              <w:numPr>
                <w:ilvl w:val="0"/>
                <w:numId w:val="37"/>
              </w:numPr>
              <w:spacing w:line="276" w:lineRule="auto"/>
              <w:rPr>
                <w:rFonts w:eastAsia="Times New Roman" w:cs="Arial"/>
                <w:lang w:val="en-US"/>
              </w:rPr>
            </w:pPr>
            <w:r>
              <w:t>It is mentioned in the introduction</w:t>
            </w:r>
            <w:r w:rsidR="006735D2">
              <w:t xml:space="preserve"> of the document</w:t>
            </w:r>
            <w:r>
              <w:t xml:space="preserve"> that input will be sought from </w:t>
            </w:r>
            <w:r>
              <w:lastRenderedPageBreak/>
              <w:t xml:space="preserve">relevant working parties, committees </w:t>
            </w:r>
            <w:r w:rsidRPr="000431D6">
              <w:t xml:space="preserve">and experts. We would welcome mentioning the importance of collaboration </w:t>
            </w:r>
            <w:r w:rsidRPr="00193704">
              <w:rPr>
                <w:rFonts w:eastAsia="Times New Roman" w:cs="Arial"/>
                <w:lang w:val="en-US"/>
              </w:rPr>
              <w:t xml:space="preserve">between authorities, industry and academia on this topic. </w:t>
            </w:r>
          </w:p>
          <w:p w14:paraId="42B93C3B" w14:textId="77777777" w:rsidR="000544EB" w:rsidRPr="00193704" w:rsidRDefault="000544EB" w:rsidP="00FF22DA">
            <w:pPr>
              <w:spacing w:line="276" w:lineRule="auto"/>
              <w:rPr>
                <w:rFonts w:eastAsia="Times New Roman" w:cs="Arial"/>
                <w:lang w:val="en-US"/>
              </w:rPr>
            </w:pPr>
          </w:p>
          <w:p w14:paraId="37404094" w14:textId="362CD3D9" w:rsidR="000544EB" w:rsidRPr="00193704" w:rsidRDefault="000544EB" w:rsidP="007C163B">
            <w:pPr>
              <w:pStyle w:val="ListParagraph"/>
              <w:numPr>
                <w:ilvl w:val="0"/>
                <w:numId w:val="37"/>
              </w:numPr>
              <w:spacing w:line="276" w:lineRule="auto"/>
              <w:rPr>
                <w:rFonts w:eastAsia="Times New Roman" w:cs="Arial"/>
                <w:lang w:val="en-US"/>
              </w:rPr>
            </w:pPr>
            <w:r w:rsidRPr="00193704">
              <w:rPr>
                <w:rFonts w:eastAsia="Times New Roman" w:cs="Arial"/>
                <w:lang w:val="en-US"/>
              </w:rPr>
              <w:t>It is recommended to</w:t>
            </w:r>
            <w:r w:rsidRPr="00193704">
              <w:rPr>
                <w:rFonts w:cs="Arial"/>
                <w:lang w:val="en-US"/>
              </w:rPr>
              <w:t xml:space="preserve"> </w:t>
            </w:r>
            <w:r w:rsidRPr="00193704">
              <w:rPr>
                <w:rFonts w:eastAsia="Times New Roman" w:cs="Arial"/>
                <w:lang w:val="en-US"/>
              </w:rPr>
              <w:t xml:space="preserve">establish specialized working groups to develop standardized and specific short- and long-term endpoints for different diseases and medical conditions in neonates (preterm/term). </w:t>
            </w:r>
          </w:p>
          <w:p w14:paraId="44212E12" w14:textId="1AC609CC" w:rsidR="000544EB" w:rsidRPr="000431D6" w:rsidRDefault="000544EB" w:rsidP="00FF22DA">
            <w:pPr>
              <w:spacing w:line="276" w:lineRule="auto"/>
              <w:rPr>
                <w:rFonts w:cs="Arial"/>
                <w:lang w:val="en-US"/>
              </w:rPr>
            </w:pPr>
          </w:p>
          <w:p w14:paraId="5674F199" w14:textId="6061BE8F" w:rsidR="00932C79" w:rsidRDefault="00932C79" w:rsidP="007C163B">
            <w:pPr>
              <w:pStyle w:val="ListParagraph"/>
              <w:numPr>
                <w:ilvl w:val="0"/>
                <w:numId w:val="37"/>
              </w:numPr>
              <w:spacing w:line="276" w:lineRule="auto"/>
              <w:ind w:right="225"/>
            </w:pPr>
            <w:r w:rsidRPr="000431D6">
              <w:t xml:space="preserve">Guidance how to </w:t>
            </w:r>
            <w:r w:rsidR="00F2570A" w:rsidRPr="00F2570A">
              <w:t xml:space="preserve">adequately </w:t>
            </w:r>
            <w:r w:rsidRPr="00F2570A">
              <w:t xml:space="preserve">asses neonatal pharmacovigilance </w:t>
            </w:r>
            <w:r w:rsidR="00F2570A" w:rsidRPr="00F2570A">
              <w:t xml:space="preserve">data </w:t>
            </w:r>
            <w:r w:rsidRPr="00F2570A">
              <w:t>for this vulnerable and</w:t>
            </w:r>
            <w:r w:rsidRPr="000431D6">
              <w:t xml:space="preserve"> heterogeneous population with multiple confounding factors </w:t>
            </w:r>
            <w:r w:rsidRPr="000431D6">
              <w:fldChar w:fldCharType="begin"/>
            </w:r>
            <w:r w:rsidRPr="000431D6">
              <w:instrText xml:space="preserve"> ADDIN EN.CITE &lt;EndNote&gt;&lt;Cite&gt;&lt;Author&gt;Ward&lt;/Author&gt;&lt;Year&gt;2017&lt;/Year&gt;&lt;IDText&gt;Safety, dosing, and pharmaceutical quality for studies that evaluate medicinal products (including biological products) in neonates&lt;/IDText&gt;&lt;DisplayText&gt;(Ward, Benjamin et al. 2017)&lt;/DisplayText&gt;&lt;record&gt;&lt;dates&gt;&lt;pub-dates&gt;&lt;date&gt;May&lt;/date&gt;&lt;/pub-dates&gt;&lt;year&gt;2017&lt;/year&gt;&lt;/dates&gt;&lt;keywords&gt;&lt;keyword&gt;Age Factors&lt;/keyword&gt;&lt;keyword&gt;Biological Factors&lt;/keyword&gt;&lt;keyword&gt;Clinical Trials as Topic&lt;/keyword&gt;&lt;keyword&gt;Dose-Response Relationship, Drug&lt;/keyword&gt;&lt;keyword&gt;Drug Dosage Calculations&lt;/keyword&gt;&lt;keyword&gt;Evidence-Based Medicine&lt;/keyword&gt;&lt;keyword&gt;Humans&lt;/keyword&gt;&lt;keyword&gt;Infant, Newborn&lt;/keyword&gt;&lt;keyword&gt;Pharmaceutical Preparations&lt;/keyword&gt;&lt;keyword&gt;Quality Control&lt;/keyword&gt;&lt;keyword&gt;Research Design&lt;/keyword&gt;&lt;keyword&gt;Risk Assessment&lt;/keyword&gt;&lt;keyword&gt;Risk Factors&lt;/keyword&gt;&lt;/keywords&gt;&lt;urls&gt;&lt;related-urls&gt;&lt;url&gt;https://www.ncbi.nlm.nih.gov/pubmed/28248319&lt;/url&gt;&lt;/related-urls&gt;&lt;/urls&gt;&lt;isbn&gt;1530-0447&lt;/isbn&gt;&lt;titles&gt;&lt;title&gt;Safety, dosing, and pharmaceutical quality for studies that evaluate medicinal products (including biological products) in neonates&lt;/title&gt;&lt;secondary-title&gt;Pediatr Res&lt;/secondary-title&gt;&lt;/titles&gt;&lt;pages&gt;692-711&lt;/pages&gt;&lt;number&gt;5&lt;/number&gt;&lt;contributors&gt;&lt;authors&gt;&lt;author&gt;Ward, R. M.&lt;/author&gt;&lt;author&gt;Benjamin, D.&lt;/author&gt;&lt;author&gt;Barrett, J. S.&lt;/author&gt;&lt;author&gt;Allegaert, K.&lt;/author&gt;&lt;author&gt;Portman, R.&lt;/author&gt;&lt;author&gt;Davis, J. M.&lt;/author&gt;&lt;author&gt;Turner, M. A.&lt;/author&gt;&lt;/authors&gt;&lt;/contributors&gt;&lt;edition&gt;2016/11/03&lt;/edition&gt;&lt;language&gt;eng&lt;/language&gt;&lt;added-date format="utc"&gt;1540906331&lt;/added-date&gt;&lt;ref-type name="Journal Article"&gt;17&lt;/ref-type&gt;&lt;rec-number&gt;349&lt;/rec-number&gt;&lt;last-updated-date format="utc"&gt;1540906331&lt;/last-updated-date&gt;&lt;accession-num&gt;28248319&lt;/accession-num&gt;&lt;electronic-resource-num&gt;10.1038/pr.2016.221&lt;/electronic-resource-num&gt;&lt;volume&gt;81&lt;/volume&gt;&lt;/record&gt;&lt;/Cite&gt;&lt;/EndNote&gt;</w:instrText>
            </w:r>
            <w:r w:rsidRPr="000431D6">
              <w:fldChar w:fldCharType="separate"/>
            </w:r>
            <w:r w:rsidRPr="000431D6">
              <w:rPr>
                <w:noProof/>
              </w:rPr>
              <w:t>(Ward, Benjamin et al. 2017)</w:t>
            </w:r>
            <w:r w:rsidRPr="000431D6">
              <w:fldChar w:fldCharType="end"/>
            </w:r>
            <w:r w:rsidRPr="000431D6">
              <w:t xml:space="preserve">. </w:t>
            </w:r>
          </w:p>
          <w:p w14:paraId="0C9611FD" w14:textId="77777777" w:rsidR="00193704" w:rsidRPr="000431D6" w:rsidRDefault="00193704" w:rsidP="00193704">
            <w:pPr>
              <w:spacing w:line="276" w:lineRule="auto"/>
              <w:ind w:right="225"/>
            </w:pPr>
          </w:p>
          <w:p w14:paraId="303263E3" w14:textId="7E0BFEB6" w:rsidR="00212160" w:rsidRDefault="00212160" w:rsidP="00212160">
            <w:pPr>
              <w:pStyle w:val="TabletextrowsAgency"/>
              <w:numPr>
                <w:ilvl w:val="0"/>
                <w:numId w:val="37"/>
              </w:numPr>
              <w:spacing w:line="276" w:lineRule="auto"/>
            </w:pPr>
            <w:r w:rsidRPr="00193704">
              <w:rPr>
                <w:rFonts w:cs="Arial"/>
                <w:lang w:val="en-US"/>
              </w:rPr>
              <w:t xml:space="preserve">It is recommended to </w:t>
            </w:r>
            <w:r>
              <w:t>stress the importance of collaboration with nurses, nutritionists, parent etc. under the protocol development.</w:t>
            </w:r>
          </w:p>
          <w:p w14:paraId="453A6C8B" w14:textId="77777777" w:rsidR="00212160" w:rsidRDefault="00212160" w:rsidP="00212160">
            <w:pPr>
              <w:pStyle w:val="ListParagraph"/>
            </w:pPr>
          </w:p>
          <w:p w14:paraId="4ACDB08C" w14:textId="6D85F25D" w:rsidR="008360D5" w:rsidRDefault="000544EB" w:rsidP="007C163B">
            <w:pPr>
              <w:pStyle w:val="ListParagraph"/>
              <w:numPr>
                <w:ilvl w:val="0"/>
                <w:numId w:val="37"/>
              </w:numPr>
              <w:spacing w:line="276" w:lineRule="auto"/>
            </w:pPr>
            <w:r w:rsidRPr="00700E33">
              <w:rPr>
                <w:rFonts w:cs="Arial"/>
                <w:lang w:val="en-US"/>
              </w:rPr>
              <w:t>Finally</w:t>
            </w:r>
            <w:r w:rsidRPr="00193704">
              <w:rPr>
                <w:rFonts w:cs="Arial"/>
                <w:lang w:val="en-US"/>
              </w:rPr>
              <w:t xml:space="preserve">, it is recommended that following the </w:t>
            </w:r>
            <w:r w:rsidRPr="000431D6">
              <w:t xml:space="preserve">revision of the guideline on the investigation of medicinal products in the term and preterm neonate, further global harmonisation is sought via </w:t>
            </w:r>
            <w:r w:rsidR="006735D2" w:rsidRPr="000431D6">
              <w:t>subsequent update of ICH E11 (R1</w:t>
            </w:r>
            <w:r w:rsidR="006735D2">
              <w:t>).</w:t>
            </w:r>
          </w:p>
          <w:p w14:paraId="451C518A" w14:textId="2FD4140D" w:rsidR="007C163B" w:rsidRPr="00497DB2" w:rsidRDefault="007C163B" w:rsidP="00700636">
            <w:pPr>
              <w:rPr>
                <w:lang w:val="en-US"/>
              </w:rPr>
            </w:pPr>
          </w:p>
        </w:tc>
        <w:tc>
          <w:tcPr>
            <w:tcW w:w="2313" w:type="pct"/>
            <w:shd w:val="clear" w:color="auto" w:fill="E1E3F2"/>
          </w:tcPr>
          <w:p w14:paraId="6A70FAE4" w14:textId="77777777" w:rsidR="00783391" w:rsidRDefault="00783391">
            <w:pPr>
              <w:pStyle w:val="TabletextrowsAgency"/>
            </w:pPr>
          </w:p>
        </w:tc>
      </w:tr>
    </w:tbl>
    <w:p w14:paraId="77E266BD" w14:textId="77777777" w:rsidR="00783391" w:rsidRDefault="00783391">
      <w:pPr>
        <w:pStyle w:val="BodytextAgency"/>
      </w:pPr>
    </w:p>
    <w:p w14:paraId="438C4C7B" w14:textId="77777777" w:rsidR="00783391" w:rsidRPr="00B822FC" w:rsidRDefault="00783391">
      <w:pPr>
        <w:pStyle w:val="Heading1Agency"/>
        <w:pageBreakBefore/>
      </w:pPr>
      <w:r w:rsidRPr="00B822FC">
        <w:lastRenderedPageBreak/>
        <w:t>Specific comments on text</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836"/>
        <w:gridCol w:w="1410"/>
        <w:gridCol w:w="5845"/>
        <w:gridCol w:w="4479"/>
      </w:tblGrid>
      <w:tr w:rsidR="00783391" w:rsidRPr="00F30925" w14:paraId="4EBC67DC" w14:textId="77777777" w:rsidTr="00A83267">
        <w:trPr>
          <w:tblHeader/>
        </w:trPr>
        <w:tc>
          <w:tcPr>
            <w:tcW w:w="973" w:type="pct"/>
            <w:tcBorders>
              <w:top w:val="nil"/>
              <w:left w:val="nil"/>
              <w:bottom w:val="nil"/>
              <w:right w:val="nil"/>
              <w:tl2br w:val="nil"/>
              <w:tr2bl w:val="nil"/>
            </w:tcBorders>
            <w:shd w:val="clear" w:color="auto" w:fill="003399"/>
          </w:tcPr>
          <w:p w14:paraId="785EF335" w14:textId="77777777" w:rsidR="00783391" w:rsidRDefault="00783391">
            <w:pPr>
              <w:pStyle w:val="TableheadingrowsAgency"/>
              <w:rPr>
                <w:b w:val="0"/>
              </w:rPr>
            </w:pPr>
            <w:r w:rsidRPr="00F30925">
              <w:rPr>
                <w:b w:val="0"/>
              </w:rPr>
              <w:t xml:space="preserve">Line </w:t>
            </w:r>
            <w:r>
              <w:rPr>
                <w:b w:val="0"/>
              </w:rPr>
              <w:t>number(s)</w:t>
            </w:r>
            <w:r w:rsidRPr="00F30925">
              <w:rPr>
                <w:b w:val="0"/>
              </w:rPr>
              <w:t xml:space="preserve"> of the </w:t>
            </w:r>
            <w:r>
              <w:rPr>
                <w:b w:val="0"/>
              </w:rPr>
              <w:t>relevant text</w:t>
            </w:r>
          </w:p>
          <w:p w14:paraId="6DA52100" w14:textId="77777777" w:rsidR="00783391" w:rsidRPr="00416A4F" w:rsidRDefault="00783391">
            <w:pPr>
              <w:pStyle w:val="TableheadingrowsAgency"/>
              <w:rPr>
                <w:b w:val="0"/>
                <w:i/>
                <w:color w:val="339966"/>
              </w:rPr>
            </w:pPr>
            <w:r w:rsidRPr="00416A4F">
              <w:rPr>
                <w:b w:val="0"/>
                <w:i/>
                <w:color w:val="339966"/>
              </w:rPr>
              <w:t>(e.g. Lines 20-23)</w:t>
            </w:r>
          </w:p>
        </w:tc>
        <w:tc>
          <w:tcPr>
            <w:tcW w:w="484" w:type="pct"/>
            <w:tcBorders>
              <w:top w:val="nil"/>
              <w:left w:val="nil"/>
              <w:bottom w:val="nil"/>
              <w:right w:val="nil"/>
              <w:tl2br w:val="nil"/>
              <w:tr2bl w:val="nil"/>
            </w:tcBorders>
            <w:shd w:val="clear" w:color="auto" w:fill="003399"/>
          </w:tcPr>
          <w:p w14:paraId="72EFFACD" w14:textId="77777777" w:rsidR="00783391" w:rsidRDefault="00783391">
            <w:pPr>
              <w:pStyle w:val="TableheadingrowsAgency"/>
              <w:rPr>
                <w:b w:val="0"/>
              </w:rPr>
            </w:pPr>
            <w:r>
              <w:rPr>
                <w:b w:val="0"/>
              </w:rPr>
              <w:t>Stakeholder number</w:t>
            </w:r>
          </w:p>
          <w:p w14:paraId="7B7589C6" w14:textId="77777777" w:rsidR="00783391" w:rsidRDefault="00783391">
            <w:pPr>
              <w:pStyle w:val="TableheadingrowsAgency"/>
              <w:rPr>
                <w:b w:val="0"/>
              </w:rPr>
            </w:pPr>
            <w:r w:rsidRPr="00416A4F">
              <w:rPr>
                <w:b w:val="0"/>
                <w:i/>
                <w:color w:val="339966"/>
              </w:rPr>
              <w:t>(To be completed by the Agency)</w:t>
            </w:r>
          </w:p>
        </w:tc>
        <w:tc>
          <w:tcPr>
            <w:tcW w:w="2006" w:type="pct"/>
            <w:tcBorders>
              <w:top w:val="nil"/>
              <w:left w:val="nil"/>
              <w:bottom w:val="nil"/>
              <w:right w:val="nil"/>
              <w:tl2br w:val="nil"/>
              <w:tr2bl w:val="nil"/>
            </w:tcBorders>
            <w:shd w:val="clear" w:color="auto" w:fill="003399"/>
          </w:tcPr>
          <w:p w14:paraId="67336225" w14:textId="77777777" w:rsidR="00783391" w:rsidRDefault="00783391">
            <w:pPr>
              <w:pStyle w:val="TableheadingrowsAgency"/>
              <w:rPr>
                <w:b w:val="0"/>
              </w:rPr>
            </w:pPr>
            <w:r>
              <w:rPr>
                <w:b w:val="0"/>
              </w:rPr>
              <w:t>Comment and r</w:t>
            </w:r>
            <w:r w:rsidRPr="00F30925">
              <w:rPr>
                <w:b w:val="0"/>
              </w:rPr>
              <w:t>ationale; proposed changes</w:t>
            </w:r>
          </w:p>
          <w:p w14:paraId="394910F7" w14:textId="77777777" w:rsidR="00783391" w:rsidRPr="00416A4F" w:rsidRDefault="00783391">
            <w:pPr>
              <w:pStyle w:val="TableheadingrowsAgency"/>
              <w:rPr>
                <w:b w:val="0"/>
                <w:i/>
                <w:color w:val="339966"/>
              </w:rPr>
            </w:pPr>
            <w:r w:rsidRPr="00416A4F">
              <w:rPr>
                <w:b w:val="0"/>
                <w:i/>
                <w:color w:val="339966"/>
              </w:rPr>
              <w:t>(If changes to the wording are suggested, they should be highlighted using 'track changes')</w:t>
            </w:r>
          </w:p>
        </w:tc>
        <w:tc>
          <w:tcPr>
            <w:tcW w:w="1537" w:type="pct"/>
            <w:tcBorders>
              <w:top w:val="nil"/>
              <w:left w:val="nil"/>
              <w:bottom w:val="nil"/>
              <w:right w:val="nil"/>
              <w:tl2br w:val="nil"/>
              <w:tr2bl w:val="nil"/>
            </w:tcBorders>
            <w:shd w:val="clear" w:color="auto" w:fill="003399"/>
          </w:tcPr>
          <w:p w14:paraId="431CA04F" w14:textId="77777777" w:rsidR="00783391" w:rsidRDefault="00783391">
            <w:pPr>
              <w:pStyle w:val="TableheadingrowsAgency"/>
              <w:rPr>
                <w:b w:val="0"/>
              </w:rPr>
            </w:pPr>
            <w:r w:rsidRPr="00F30925">
              <w:rPr>
                <w:b w:val="0"/>
              </w:rPr>
              <w:t>Outcome</w:t>
            </w:r>
          </w:p>
          <w:p w14:paraId="3C3EC29A" w14:textId="77777777" w:rsidR="00783391" w:rsidRPr="00F30925" w:rsidRDefault="00783391">
            <w:pPr>
              <w:pStyle w:val="TableheadingrowsAgency"/>
              <w:rPr>
                <w:b w:val="0"/>
              </w:rPr>
            </w:pPr>
            <w:r w:rsidRPr="00416A4F">
              <w:rPr>
                <w:b w:val="0"/>
                <w:i/>
                <w:color w:val="339966"/>
              </w:rPr>
              <w:t>(To be completed by the Agency)</w:t>
            </w:r>
          </w:p>
        </w:tc>
      </w:tr>
      <w:tr w:rsidR="00783391" w14:paraId="5CA0D165" w14:textId="77777777" w:rsidTr="00A83267">
        <w:tc>
          <w:tcPr>
            <w:tcW w:w="973" w:type="pct"/>
            <w:shd w:val="clear" w:color="auto" w:fill="E1E3F2"/>
          </w:tcPr>
          <w:p w14:paraId="2CE93B90" w14:textId="1CF51020" w:rsidR="00783391" w:rsidRPr="003150E8" w:rsidRDefault="00894FB4" w:rsidP="003150E8">
            <w:pPr>
              <w:pStyle w:val="Default"/>
              <w:spacing w:line="276" w:lineRule="auto"/>
              <w:rPr>
                <w:sz w:val="18"/>
                <w:szCs w:val="18"/>
                <w:lang w:val="en-US"/>
              </w:rPr>
            </w:pPr>
            <w:r w:rsidRPr="003150E8">
              <w:rPr>
                <w:noProof/>
                <w:sz w:val="18"/>
                <w:szCs w:val="18"/>
                <w:lang w:val="en-US"/>
              </w:rPr>
              <w:t>3.(</w:t>
            </w:r>
            <w:r w:rsidR="0082215C" w:rsidRPr="003150E8">
              <w:rPr>
                <w:noProof/>
                <w:sz w:val="18"/>
                <w:szCs w:val="18"/>
                <w:lang w:val="en-US"/>
              </w:rPr>
              <w:t>a)</w:t>
            </w:r>
            <w:r w:rsidR="00400016" w:rsidRPr="003150E8">
              <w:rPr>
                <w:sz w:val="18"/>
                <w:szCs w:val="18"/>
                <w:lang w:val="en-US"/>
              </w:rPr>
              <w:t xml:space="preserve"> </w:t>
            </w:r>
          </w:p>
        </w:tc>
        <w:tc>
          <w:tcPr>
            <w:tcW w:w="484" w:type="pct"/>
            <w:shd w:val="clear" w:color="auto" w:fill="E1E3F2"/>
          </w:tcPr>
          <w:p w14:paraId="0A9ED896" w14:textId="77777777" w:rsidR="00783391" w:rsidRPr="003150E8" w:rsidRDefault="00783391" w:rsidP="003150E8">
            <w:pPr>
              <w:pStyle w:val="TabletextrowsAgency"/>
              <w:spacing w:line="276" w:lineRule="auto"/>
              <w:rPr>
                <w:lang w:val="en-US"/>
              </w:rPr>
            </w:pPr>
          </w:p>
        </w:tc>
        <w:tc>
          <w:tcPr>
            <w:tcW w:w="2006" w:type="pct"/>
            <w:shd w:val="clear" w:color="auto" w:fill="E1E3F2"/>
          </w:tcPr>
          <w:p w14:paraId="59F49639" w14:textId="7CE74379" w:rsidR="00A54885" w:rsidRPr="003150E8" w:rsidRDefault="003150E8" w:rsidP="00A93C27">
            <w:pPr>
              <w:spacing w:line="276" w:lineRule="auto"/>
              <w:jc w:val="both"/>
              <w:rPr>
                <w:b/>
                <w:i/>
                <w:lang w:val="en-US"/>
              </w:rPr>
            </w:pPr>
            <w:r w:rsidRPr="003150E8">
              <w:t>Comment 1: The definition of neonatal age as 44 full weeks of PMA is crucial for preterm and term neonates. Full-term neonates have been considered as a homogeneous group, however high neonatal morbidity of early-term neonates compared with term neonates has been reported (Sengupta, Carrion et al. 2013)</w:t>
            </w:r>
            <w:r w:rsidRPr="003150E8">
              <w:rPr>
                <w:lang w:val="en-US" w:eastAsia="da-DK"/>
              </w:rPr>
              <w:t xml:space="preserve">. Preterm neonates are usually classified by gestational age into groups: extremely preterm 24-&lt;28 </w:t>
            </w:r>
            <w:proofErr w:type="spellStart"/>
            <w:r w:rsidRPr="003150E8">
              <w:rPr>
                <w:lang w:val="en-US" w:eastAsia="da-DK"/>
              </w:rPr>
              <w:t>wk</w:t>
            </w:r>
            <w:proofErr w:type="spellEnd"/>
            <w:r w:rsidRPr="003150E8">
              <w:rPr>
                <w:lang w:val="en-US" w:eastAsia="da-DK"/>
              </w:rPr>
              <w:t xml:space="preserve"> GA, very preterm:28 -&lt;32 </w:t>
            </w:r>
            <w:proofErr w:type="spellStart"/>
            <w:r w:rsidRPr="003150E8">
              <w:rPr>
                <w:lang w:val="en-US" w:eastAsia="da-DK"/>
              </w:rPr>
              <w:t>wk</w:t>
            </w:r>
            <w:proofErr w:type="spellEnd"/>
            <w:r w:rsidRPr="003150E8">
              <w:rPr>
                <w:lang w:val="en-US" w:eastAsia="da-DK"/>
              </w:rPr>
              <w:t xml:space="preserve"> GA and moderate to late 32-&lt;37 </w:t>
            </w:r>
            <w:proofErr w:type="spellStart"/>
            <w:r w:rsidRPr="003150E8">
              <w:rPr>
                <w:lang w:val="en-US" w:eastAsia="da-DK"/>
              </w:rPr>
              <w:t>wk</w:t>
            </w:r>
            <w:proofErr w:type="spellEnd"/>
            <w:r w:rsidRPr="003150E8">
              <w:rPr>
                <w:lang w:val="en-US" w:eastAsia="da-DK"/>
              </w:rPr>
              <w:t xml:space="preserve"> GA. When updating the definitions consider stratifying term neonates as following: </w:t>
            </w:r>
            <w:r w:rsidRPr="003150E8">
              <w:rPr>
                <w:b/>
                <w:bCs/>
                <w:i/>
                <w:iCs/>
                <w:lang w:val="en-US"/>
              </w:rPr>
              <w:t>early term (37 (0/7)-38 (6/7) weeks; Term (39 0/7) – 41 (0/7) weeks.</w:t>
            </w:r>
          </w:p>
          <w:p w14:paraId="7839985D" w14:textId="08455681" w:rsidR="00603102" w:rsidRPr="003150E8" w:rsidRDefault="00603102" w:rsidP="00A93C27">
            <w:pPr>
              <w:pStyle w:val="TabletextrowsAgency"/>
              <w:spacing w:line="276" w:lineRule="auto"/>
              <w:ind w:left="360"/>
              <w:jc w:val="both"/>
              <w:rPr>
                <w:lang w:val="en-US"/>
              </w:rPr>
            </w:pPr>
          </w:p>
          <w:p w14:paraId="5D7D987C" w14:textId="012DFE19" w:rsidR="001911D6" w:rsidRPr="003150E8" w:rsidRDefault="00A54885" w:rsidP="00A93C27">
            <w:pPr>
              <w:pStyle w:val="TabletextrowsAgency"/>
              <w:spacing w:line="276" w:lineRule="auto"/>
              <w:jc w:val="both"/>
            </w:pPr>
            <w:r w:rsidRPr="003150E8">
              <w:t xml:space="preserve">Comment 2: </w:t>
            </w:r>
            <w:r w:rsidR="001911D6" w:rsidRPr="003150E8">
              <w:t>When the definition is updated it should not be forgotten to revise associated documents such as the PIP Part A to reflect the revised age range for waivers applicable for paediatric subsets (current drop-down menu states: Preterm and/or term new born infants (0-27 days), Infants and toddlers (28 days to 23 months), etc).</w:t>
            </w:r>
          </w:p>
          <w:p w14:paraId="030E3B1C" w14:textId="19D7388C" w:rsidR="000B7627" w:rsidRPr="003150E8" w:rsidRDefault="000B7627" w:rsidP="00A93C27">
            <w:pPr>
              <w:spacing w:line="276" w:lineRule="auto"/>
              <w:jc w:val="both"/>
              <w:rPr>
                <w:lang w:val="en-US"/>
              </w:rPr>
            </w:pPr>
          </w:p>
        </w:tc>
        <w:tc>
          <w:tcPr>
            <w:tcW w:w="1537" w:type="pct"/>
            <w:shd w:val="clear" w:color="auto" w:fill="E1E3F2"/>
          </w:tcPr>
          <w:p w14:paraId="53FE44C3" w14:textId="77777777" w:rsidR="00783391" w:rsidRPr="00561BA0" w:rsidRDefault="00783391">
            <w:pPr>
              <w:pStyle w:val="TabletextrowsAgency"/>
            </w:pPr>
          </w:p>
        </w:tc>
      </w:tr>
      <w:tr w:rsidR="00810E06" w:rsidRPr="00810E06" w14:paraId="407637EA" w14:textId="77777777" w:rsidTr="00A83267">
        <w:tc>
          <w:tcPr>
            <w:tcW w:w="973" w:type="pct"/>
            <w:shd w:val="clear" w:color="auto" w:fill="E1E3F2"/>
          </w:tcPr>
          <w:p w14:paraId="63481173" w14:textId="3CFA4BD0" w:rsidR="00810E06" w:rsidRPr="003150E8" w:rsidRDefault="00894FB4" w:rsidP="003150E8">
            <w:pPr>
              <w:pStyle w:val="TabletextrowsAgency"/>
              <w:spacing w:line="276" w:lineRule="auto"/>
              <w:rPr>
                <w:noProof/>
                <w:color w:val="00B050"/>
              </w:rPr>
            </w:pPr>
            <w:r w:rsidRPr="003150E8">
              <w:rPr>
                <w:noProof/>
              </w:rPr>
              <w:t>3.(</w:t>
            </w:r>
            <w:r w:rsidR="00017178" w:rsidRPr="003150E8">
              <w:rPr>
                <w:noProof/>
              </w:rPr>
              <w:t>b)</w:t>
            </w:r>
            <w:r w:rsidR="00A83267" w:rsidRPr="003150E8">
              <w:t xml:space="preserve"> </w:t>
            </w:r>
          </w:p>
        </w:tc>
        <w:tc>
          <w:tcPr>
            <w:tcW w:w="484" w:type="pct"/>
            <w:shd w:val="clear" w:color="auto" w:fill="E1E3F2"/>
          </w:tcPr>
          <w:p w14:paraId="5ED24E27" w14:textId="77777777" w:rsidR="00810E06" w:rsidRPr="003150E8" w:rsidRDefault="00810E06" w:rsidP="003150E8">
            <w:pPr>
              <w:autoSpaceDE w:val="0"/>
              <w:autoSpaceDN w:val="0"/>
              <w:adjustRightInd w:val="0"/>
              <w:spacing w:line="276" w:lineRule="auto"/>
              <w:rPr>
                <w:color w:val="00B050"/>
              </w:rPr>
            </w:pPr>
          </w:p>
        </w:tc>
        <w:tc>
          <w:tcPr>
            <w:tcW w:w="2006" w:type="pct"/>
            <w:shd w:val="clear" w:color="auto" w:fill="E1E3F2"/>
          </w:tcPr>
          <w:p w14:paraId="3E385494" w14:textId="5AFE302A" w:rsidR="00D46ABE" w:rsidRPr="003150E8" w:rsidRDefault="00D46ABE" w:rsidP="003150E8">
            <w:pPr>
              <w:spacing w:line="276" w:lineRule="auto"/>
              <w:ind w:right="225"/>
            </w:pPr>
            <w:r w:rsidRPr="003150E8">
              <w:t>Consider including in the section:</w:t>
            </w:r>
          </w:p>
          <w:p w14:paraId="648A9851" w14:textId="77777777" w:rsidR="00B93256" w:rsidRPr="003150E8" w:rsidRDefault="00B93256" w:rsidP="003150E8">
            <w:pPr>
              <w:spacing w:line="276" w:lineRule="auto"/>
              <w:ind w:right="225"/>
            </w:pPr>
          </w:p>
          <w:p w14:paraId="0DEA3641" w14:textId="77777777" w:rsidR="00017178" w:rsidRPr="003150E8" w:rsidRDefault="00017178" w:rsidP="003150E8">
            <w:pPr>
              <w:pStyle w:val="TabletextrowsAgency"/>
              <w:numPr>
                <w:ilvl w:val="0"/>
                <w:numId w:val="20"/>
              </w:numPr>
              <w:spacing w:line="276" w:lineRule="auto"/>
            </w:pPr>
            <w:r w:rsidRPr="003150E8">
              <w:t xml:space="preserve">innovative study designs, e.g. applied in studies of rare diseases could be feasible </w:t>
            </w:r>
            <w:r w:rsidRPr="003150E8">
              <w:fldChar w:fldCharType="begin"/>
            </w:r>
            <w:r w:rsidRPr="003150E8">
              <w:instrText xml:space="preserve"> ADDIN EN.CITE &lt;EndNote&gt;&lt;Cite&gt;&lt;Author&gt;Allegaert&lt;/Author&gt;&lt;Year&gt;2018&lt;/Year&gt;&lt;IDText&gt;Drug evaluation studies in neonates: how to overcome the current limitations&lt;/IDText&gt;&lt;DisplayText&gt;(Allegaert, Smits et al. 2018)&lt;/DisplayText&gt;&lt;record&gt;&lt;dates&gt;&lt;pub-dates&gt;&lt;date&gt;Apr&lt;/date&gt;&lt;/pub-dates&gt;&lt;year&gt;2018&lt;/year&gt;&lt;/dates&gt;&lt;keywords&gt;&lt;keyword&gt;Animals&lt;/keyword&gt;&lt;keyword&gt;Drug Evaluation&lt;/keyword&gt;&lt;keyword&gt;Drug-Related Side Effects and Adverse Reactions&lt;/keyword&gt;&lt;keyword&gt;Humans&lt;/keyword&gt;&lt;keyword&gt;Infant, Newborn&lt;/keyword&gt;&lt;keyword&gt;Patient Selection&lt;/keyword&gt;&lt;keyword&gt;Pharmaceutical Preparations&lt;/keyword&gt;&lt;keyword&gt;Research Design&lt;/keyword&gt;&lt;keyword&gt;Newborn&lt;/keyword&gt;&lt;keyword&gt;clinical trials&lt;/keyword&gt;&lt;keyword&gt;developmental pharmacology&lt;/keyword&gt;&lt;keyword&gt;infant&lt;/keyword&gt;&lt;keyword&gt;limitations&lt;/keyword&gt;&lt;/keywords&gt;&lt;urls&gt;&lt;related-urls&gt;&lt;url&gt;https://www.ncbi.nlm.nih.gov/pubmed/29421929&lt;/url&gt;&lt;/related-urls&gt;&lt;/urls&gt;&lt;isbn&gt;1751-2441&lt;/isbn&gt;&lt;titles&gt;&lt;title&gt;Drug evaluation studies in neonates: how to overcome the current limitations&lt;/title&gt;&lt;secondary-title&gt;Expert Rev Clin Pharmacol&lt;/secondary-title&gt;&lt;/titles&gt;&lt;pages&gt;387-396&lt;/pages&gt;&lt;number&gt;4&lt;/number&gt;&lt;contributors&gt;&lt;authors&gt;&lt;author&gt;Allegaert, K.&lt;/author&gt;&lt;author&gt;Smits, A.&lt;/author&gt;&lt;author&gt;van den Anker, J. N.&lt;/author&gt;&lt;/authors&gt;&lt;/contributors&gt;&lt;edition&gt;2018/03/14&lt;/edition&gt;&lt;language&gt;eng&lt;/language&gt;&lt;added-date format="utc"&gt;1540904110&lt;/added-date&gt;&lt;ref-type name="Journal Article"&gt;17&lt;/ref-type&gt;&lt;rec-number&gt;347&lt;/rec-number&gt;&lt;last-updated-date format="utc"&gt;1540904110&lt;/last-updated-date&gt;&lt;accession-num&gt;29421929&lt;/accession-num&gt;&lt;electronic-resource-num&gt;10.1080/17512433.2018.1439378&lt;/electronic-resource-num&gt;&lt;volume&gt;11&lt;/volume&gt;&lt;/record&gt;&lt;/Cite&gt;&lt;/EndNote&gt;</w:instrText>
            </w:r>
            <w:r w:rsidRPr="003150E8">
              <w:fldChar w:fldCharType="separate"/>
            </w:r>
            <w:r w:rsidRPr="003150E8">
              <w:rPr>
                <w:noProof/>
              </w:rPr>
              <w:t>(Allegaert, Smits et al. 2018)</w:t>
            </w:r>
            <w:r w:rsidRPr="003150E8">
              <w:fldChar w:fldCharType="end"/>
            </w:r>
            <w:r w:rsidRPr="003150E8">
              <w:t>.</w:t>
            </w:r>
          </w:p>
          <w:p w14:paraId="6D300412" w14:textId="77777777" w:rsidR="00017178" w:rsidRPr="003150E8" w:rsidRDefault="00017178" w:rsidP="003150E8">
            <w:pPr>
              <w:pStyle w:val="TabletextrowsAgency"/>
              <w:numPr>
                <w:ilvl w:val="0"/>
                <w:numId w:val="20"/>
              </w:numPr>
              <w:spacing w:line="276" w:lineRule="auto"/>
            </w:pPr>
            <w:r w:rsidRPr="003150E8">
              <w:lastRenderedPageBreak/>
              <w:t xml:space="preserve">master protocols to improve conduct of the clinical trials in this non-homogeneous and vulnerable group </w:t>
            </w:r>
            <w:r w:rsidRPr="003150E8">
              <w:fldChar w:fldCharType="begin"/>
            </w:r>
            <w:r w:rsidRPr="003150E8">
              <w:instrText xml:space="preserve"> ADDIN EN.CITE &lt;EndNote&gt;&lt;Cite&gt;&lt;Author&gt;Woodcock&lt;/Author&gt;&lt;Year&gt;2017&lt;/Year&gt;&lt;IDText&gt;Master Protocols to Study Multiple Therapies, Multiple Diseases, or Both&lt;/IDText&gt;&lt;DisplayText&gt;(Woodcock and LaVange 2017)&lt;/DisplayText&gt;&lt;record&gt;&lt;dates&gt;&lt;pub-dates&gt;&lt;date&gt;07&lt;/date&gt;&lt;/pub-dates&gt;&lt;year&gt;2017&lt;/year&gt;&lt;/dates&gt;&lt;keywords&gt;&lt;keyword&gt;Clinical Protocols&lt;/keyword&gt;&lt;keyword&gt;Clinical Trials as Topic&lt;/keyword&gt;&lt;keyword&gt;Disease&lt;/keyword&gt;&lt;keyword&gt;Humans&lt;/keyword&gt;&lt;keyword&gt;Research Design&lt;/keyword&gt;&lt;keyword&gt;Therapeutics&lt;/keyword&gt;&lt;/keywords&gt;&lt;urls&gt;&lt;related-urls&gt;&lt;url&gt;https://www.ncbi.nlm.nih.gov/pubmed/28679092&lt;/url&gt;&lt;/related-urls&gt;&lt;/urls&gt;&lt;isbn&gt;1533-4406&lt;/isbn&gt;&lt;titles&gt;&lt;title&gt;Master Protocols to Study Multiple Therapies, Multiple Diseases, or Both&lt;/title&gt;&lt;secondary-title&gt;N Engl J Med&lt;/secondary-title&gt;&lt;/titles&gt;&lt;pages&gt;62-70&lt;/pages&gt;&lt;number&gt;1&lt;/number&gt;&lt;contributors&gt;&lt;authors&gt;&lt;author&gt;Woodcock, J.&lt;/author&gt;&lt;author&gt;LaVange, L. M.&lt;/author&gt;&lt;/authors&gt;&lt;/contributors&gt;&lt;language&gt;eng&lt;/language&gt;&lt;added-date format="utc"&gt;1540904219&lt;/added-date&gt;&lt;ref-type name="Journal Article"&gt;17&lt;/ref-type&gt;&lt;rec-number&gt;348&lt;/rec-number&gt;&lt;last-updated-date format="utc"&gt;1540904219&lt;/last-updated-date&gt;&lt;accession-num&gt;28679092&lt;/accession-num&gt;&lt;electronic-resource-num&gt;10.1056/NEJMra1510062&lt;/electronic-resource-num&gt;&lt;volume&gt;377&lt;/volume&gt;&lt;/record&gt;&lt;/Cite&gt;&lt;/EndNote&gt;</w:instrText>
            </w:r>
            <w:r w:rsidRPr="003150E8">
              <w:fldChar w:fldCharType="separate"/>
            </w:r>
            <w:r w:rsidRPr="003150E8">
              <w:rPr>
                <w:noProof/>
              </w:rPr>
              <w:t>(Woodcock and LaVange 2017)</w:t>
            </w:r>
            <w:r w:rsidRPr="003150E8">
              <w:fldChar w:fldCharType="end"/>
            </w:r>
            <w:r w:rsidRPr="003150E8">
              <w:t xml:space="preserve">.  </w:t>
            </w:r>
          </w:p>
          <w:p w14:paraId="66192A09" w14:textId="77777777" w:rsidR="00017178" w:rsidRPr="003150E8" w:rsidRDefault="00017178" w:rsidP="003150E8">
            <w:pPr>
              <w:pStyle w:val="TabletextrowsAgency"/>
              <w:numPr>
                <w:ilvl w:val="0"/>
                <w:numId w:val="20"/>
              </w:numPr>
              <w:spacing w:line="276" w:lineRule="auto"/>
            </w:pPr>
            <w:r w:rsidRPr="003150E8">
              <w:t xml:space="preserve">development of non-invasive or micro-sampling techniques, use of scavenged samples for detection of the specific biomarkers as well as the IMP for PK/PD studies in neonates. The validation of the assays for neonatal studies should be assessed early in the IMP development process, e.g. during the preclinical and early clinical studies (Phase I and II), these studies should also provide the evidence to support the use of the biomarker for the specific neonatal condition </w:t>
            </w:r>
            <w:r w:rsidRPr="003150E8">
              <w:fldChar w:fldCharType="begin"/>
            </w:r>
            <w:r w:rsidRPr="003150E8">
              <w:instrText xml:space="preserve"> ADDIN EN.CITE &lt;EndNote&gt;&lt;Cite&gt;&lt;Author&gt;Ward&lt;/Author&gt;&lt;Year&gt;2017&lt;/Year&gt;&lt;IDText&gt;Safety, dosing, and pharmaceutical quality for studies that evaluate medicinal products (including biological products) in neonates&lt;/IDText&gt;&lt;DisplayText&gt;(Ward, Benjamin et al. 2017)&lt;/DisplayText&gt;&lt;record&gt;&lt;dates&gt;&lt;pub-dates&gt;&lt;date&gt;May&lt;/date&gt;&lt;/pub-dates&gt;&lt;year&gt;2017&lt;/year&gt;&lt;/dates&gt;&lt;keywords&gt;&lt;keyword&gt;Age Factors&lt;/keyword&gt;&lt;keyword&gt;Biological Factors&lt;/keyword&gt;&lt;keyword&gt;Clinical Trials as Topic&lt;/keyword&gt;&lt;keyword&gt;Dose-Response Relationship, Drug&lt;/keyword&gt;&lt;keyword&gt;Drug Dosage Calculations&lt;/keyword&gt;&lt;keyword&gt;Evidence-Based Medicine&lt;/keyword&gt;&lt;keyword&gt;Humans&lt;/keyword&gt;&lt;keyword&gt;Infant, Newborn&lt;/keyword&gt;&lt;keyword&gt;Pharmaceutical Preparations&lt;/keyword&gt;&lt;keyword&gt;Quality Control&lt;/keyword&gt;&lt;keyword&gt;Research Design&lt;/keyword&gt;&lt;keyword&gt;Risk Assessment&lt;/keyword&gt;&lt;keyword&gt;Risk Factors&lt;/keyword&gt;&lt;/keywords&gt;&lt;urls&gt;&lt;related-urls&gt;&lt;url&gt;https://www.ncbi.nlm.nih.gov/pubmed/28248319&lt;/url&gt;&lt;/related-urls&gt;&lt;/urls&gt;&lt;isbn&gt;1530-0447&lt;/isbn&gt;&lt;titles&gt;&lt;title&gt;Safety, dosing, and pharmaceutical quality for studies that evaluate medicinal products (including biological products) in neonates&lt;/title&gt;&lt;secondary-title&gt;Pediatr Res&lt;/secondary-title&gt;&lt;/titles&gt;&lt;pages&gt;692-711&lt;/pages&gt;&lt;number&gt;5&lt;/number&gt;&lt;contributors&gt;&lt;authors&gt;&lt;author&gt;Ward, R. M.&lt;/author&gt;&lt;author&gt;Benjamin, D.&lt;/author&gt;&lt;author&gt;Barrett, J. S.&lt;/author&gt;&lt;author&gt;Allegaert, K.&lt;/author&gt;&lt;author&gt;Portman, R.&lt;/author&gt;&lt;author&gt;Davis, J. M.&lt;/author&gt;&lt;author&gt;Turner, M. A.&lt;/author&gt;&lt;/authors&gt;&lt;/contributors&gt;&lt;edition&gt;2016/11/03&lt;/edition&gt;&lt;language&gt;eng&lt;/language&gt;&lt;added-date format="utc"&gt;1540906331&lt;/added-date&gt;&lt;ref-type name="Journal Article"&gt;17&lt;/ref-type&gt;&lt;rec-number&gt;349&lt;/rec-number&gt;&lt;last-updated-date format="utc"&gt;1540906331&lt;/last-updated-date&gt;&lt;accession-num&gt;28248319&lt;/accession-num&gt;&lt;electronic-resource-num&gt;10.1038/pr.2016.221&lt;/electronic-resource-num&gt;&lt;volume&gt;81&lt;/volume&gt;&lt;/record&gt;&lt;/Cite&gt;&lt;/EndNote&gt;</w:instrText>
            </w:r>
            <w:r w:rsidRPr="003150E8">
              <w:fldChar w:fldCharType="separate"/>
            </w:r>
            <w:r w:rsidRPr="003150E8">
              <w:rPr>
                <w:noProof/>
              </w:rPr>
              <w:t>(Ward, Benjamin et al. 2017)</w:t>
            </w:r>
            <w:r w:rsidRPr="003150E8">
              <w:fldChar w:fldCharType="end"/>
            </w:r>
            <w:r w:rsidRPr="003150E8">
              <w:t xml:space="preserve">, </w:t>
            </w:r>
            <w:r w:rsidRPr="003150E8">
              <w:fldChar w:fldCharType="begin">
                <w:fldData xml:space="preserve">PEVuZE5vdGU+PENpdGU+PEF1dGhvcj5CYWk8L0F1dGhvcj48WWVhcj4yMDEzPC9ZZWFyPjxJRFRl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</w:fldData>
              </w:fldChar>
            </w:r>
            <w:r w:rsidRPr="003150E8">
              <w:instrText xml:space="preserve"> ADDIN EN.CITE </w:instrText>
            </w:r>
            <w:r w:rsidRPr="003150E8">
              <w:fldChar w:fldCharType="begin">
                <w:fldData xml:space="preserve">PEVuZE5vdGU+PENpdGU+PEF1dGhvcj5CYWk8L0F1dGhvcj48WWVhcj4yMDEzPC9ZZWFyPjxJRFRl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</w:fldData>
              </w:fldChar>
            </w:r>
            <w:r w:rsidRPr="003150E8">
              <w:instrText xml:space="preserve"> ADDIN EN.CITE.DATA </w:instrText>
            </w:r>
            <w:r w:rsidRPr="003150E8">
              <w:fldChar w:fldCharType="end"/>
            </w:r>
            <w:r w:rsidRPr="003150E8">
              <w:fldChar w:fldCharType="separate"/>
            </w:r>
            <w:r w:rsidRPr="003150E8">
              <w:rPr>
                <w:noProof/>
              </w:rPr>
              <w:t>(Bai, Barrett et al. 2013)</w:t>
            </w:r>
            <w:r w:rsidRPr="003150E8">
              <w:fldChar w:fldCharType="end"/>
            </w:r>
            <w:r w:rsidRPr="003150E8">
              <w:t xml:space="preserve">. </w:t>
            </w:r>
          </w:p>
          <w:p w14:paraId="6E6E9314" w14:textId="77777777" w:rsidR="00017178" w:rsidRPr="003150E8" w:rsidRDefault="00017178" w:rsidP="003150E8">
            <w:pPr>
              <w:pStyle w:val="TabletextrowsAgency"/>
              <w:numPr>
                <w:ilvl w:val="0"/>
                <w:numId w:val="20"/>
              </w:numPr>
              <w:spacing w:line="276" w:lineRule="auto"/>
            </w:pPr>
            <w:r w:rsidRPr="003150E8">
              <w:t xml:space="preserve">Sampling scheme must be planned to obtain the maximum information from the minimal number of samples. The preferable collection is together with the samples collected for clinical purpose. </w:t>
            </w:r>
          </w:p>
          <w:p w14:paraId="1085E00A" w14:textId="36DA47DE" w:rsidR="007C163B" w:rsidRPr="003150E8" w:rsidRDefault="007C163B" w:rsidP="003150E8">
            <w:pPr>
              <w:pStyle w:val="TabletextrowsAgency"/>
              <w:spacing w:line="276" w:lineRule="auto"/>
              <w:ind w:left="360"/>
            </w:pPr>
          </w:p>
          <w:p w14:paraId="48172E9A" w14:textId="18B5FF95" w:rsidR="00D71936" w:rsidRPr="003150E8" w:rsidRDefault="00D71936" w:rsidP="002B1DED">
            <w:pPr>
              <w:pStyle w:val="TabletextrowsAgency"/>
              <w:spacing w:line="276" w:lineRule="auto"/>
              <w:jc w:val="both"/>
            </w:pPr>
            <w:r w:rsidRPr="003150E8">
              <w:t>Proposed change:</w:t>
            </w:r>
          </w:p>
          <w:p w14:paraId="2A182C4B" w14:textId="7ACF7F48" w:rsidR="00D71936" w:rsidRPr="003150E8" w:rsidRDefault="007C163B" w:rsidP="002B1DED">
            <w:pPr>
              <w:pStyle w:val="TabletextrowsAgency"/>
              <w:spacing w:line="276" w:lineRule="auto"/>
              <w:jc w:val="both"/>
              <w:rPr>
                <w:b/>
                <w:i/>
              </w:rPr>
            </w:pPr>
            <w:r w:rsidRPr="003150E8">
              <w:t>“</w:t>
            </w:r>
            <w:r w:rsidR="00D71936" w:rsidRPr="003150E8">
              <w:t xml:space="preserve">Study design should consider possibility to differentiate between treatment effect and impact of various confounding factors typically influencing outcomes of neonatal conditions. For example, timing and criteria for neurodevelopmental outcomes, neonatal asphyxia criteria, diagnosis and monitoring of neonatal seizures, and prematurity-related </w:t>
            </w:r>
            <w:r w:rsidR="00D71936" w:rsidRPr="003150E8">
              <w:lastRenderedPageBreak/>
              <w:t>conditions, etc</w:t>
            </w:r>
            <w:r w:rsidR="00D71936" w:rsidRPr="003150E8">
              <w:rPr>
                <w:b/>
                <w:i/>
              </w:rPr>
              <w:t>. Additionally, alternative approaches inc</w:t>
            </w:r>
            <w:r w:rsidR="00161212" w:rsidRPr="003150E8">
              <w:rPr>
                <w:b/>
                <w:i/>
              </w:rPr>
              <w:t>luding innovative study designs and</w:t>
            </w:r>
            <w:r w:rsidR="00D71936" w:rsidRPr="003150E8">
              <w:rPr>
                <w:b/>
                <w:i/>
              </w:rPr>
              <w:t xml:space="preserve"> master protocols (to improve conduct of the clinical trials in this non-homogeneous and vulnerable group) should be taken into account. With regard to sampling, the development of non-invasi</w:t>
            </w:r>
            <w:r w:rsidR="00825D05" w:rsidRPr="003150E8">
              <w:rPr>
                <w:b/>
                <w:i/>
              </w:rPr>
              <w:t>ve or micro-sampling techniques and the</w:t>
            </w:r>
            <w:r w:rsidR="00D71936" w:rsidRPr="003150E8">
              <w:rPr>
                <w:b/>
                <w:i/>
              </w:rPr>
              <w:t xml:space="preserve"> use of scavenged samples for detection of specific biomarkers</w:t>
            </w:r>
            <w:r w:rsidRPr="003150E8">
              <w:rPr>
                <w:b/>
                <w:i/>
              </w:rPr>
              <w:t xml:space="preserve"> should be envisaged.”</w:t>
            </w:r>
          </w:p>
          <w:p w14:paraId="450D2527" w14:textId="2A8C0B56" w:rsidR="009D7CEC" w:rsidRPr="003150E8" w:rsidRDefault="009D7CEC" w:rsidP="003150E8">
            <w:pPr>
              <w:pStyle w:val="TabletextrowsAgency"/>
              <w:spacing w:line="276" w:lineRule="auto"/>
              <w:rPr>
                <w:color w:val="00B050"/>
              </w:rPr>
            </w:pPr>
          </w:p>
        </w:tc>
        <w:tc>
          <w:tcPr>
            <w:tcW w:w="1537" w:type="pct"/>
            <w:shd w:val="clear" w:color="auto" w:fill="E1E3F2"/>
          </w:tcPr>
          <w:p w14:paraId="24573418" w14:textId="6DC51191" w:rsidR="00810E06" w:rsidRPr="00810E06" w:rsidRDefault="00810E06" w:rsidP="00810E06">
            <w:pPr>
              <w:pStyle w:val="TabletextrowsAgency"/>
              <w:rPr>
                <w:color w:val="00B050"/>
              </w:rPr>
            </w:pPr>
          </w:p>
        </w:tc>
      </w:tr>
      <w:tr w:rsidR="00A12BE2" w14:paraId="086A74D6" w14:textId="77777777" w:rsidTr="00A83267">
        <w:tc>
          <w:tcPr>
            <w:tcW w:w="973" w:type="pct"/>
            <w:shd w:val="clear" w:color="auto" w:fill="E1E3F2"/>
          </w:tcPr>
          <w:p w14:paraId="57C6A88F" w14:textId="67CF1A70" w:rsidR="00A12BE2" w:rsidRPr="003150E8" w:rsidRDefault="00894FB4" w:rsidP="003150E8">
            <w:pPr>
              <w:pStyle w:val="TabletextrowsAgency"/>
              <w:spacing w:line="276" w:lineRule="auto"/>
              <w:rPr>
                <w:noProof/>
              </w:rPr>
            </w:pPr>
            <w:r w:rsidRPr="003150E8">
              <w:rPr>
                <w:noProof/>
              </w:rPr>
              <w:lastRenderedPageBreak/>
              <w:t>3.(</w:t>
            </w:r>
            <w:r w:rsidR="00017178" w:rsidRPr="003150E8">
              <w:rPr>
                <w:noProof/>
              </w:rPr>
              <w:t>c)</w:t>
            </w:r>
          </w:p>
        </w:tc>
        <w:tc>
          <w:tcPr>
            <w:tcW w:w="484" w:type="pct"/>
            <w:shd w:val="clear" w:color="auto" w:fill="E1E3F2"/>
          </w:tcPr>
          <w:p w14:paraId="7B3D539B" w14:textId="77777777" w:rsidR="00A12BE2" w:rsidRPr="003150E8" w:rsidRDefault="00A12BE2" w:rsidP="003150E8">
            <w:pPr>
              <w:pStyle w:val="TabletextrowsAgency"/>
              <w:spacing w:line="276" w:lineRule="auto"/>
            </w:pPr>
          </w:p>
        </w:tc>
        <w:tc>
          <w:tcPr>
            <w:tcW w:w="2006" w:type="pct"/>
            <w:shd w:val="clear" w:color="auto" w:fill="E1E3F2"/>
          </w:tcPr>
          <w:p w14:paraId="65942D88" w14:textId="2549AA8E" w:rsidR="00017178" w:rsidRPr="003150E8" w:rsidRDefault="00FC3C53" w:rsidP="003150E8">
            <w:pPr>
              <w:pStyle w:val="TabletextrowsAgency"/>
              <w:spacing w:line="276" w:lineRule="auto"/>
            </w:pPr>
            <w:r w:rsidRPr="003150E8">
              <w:t xml:space="preserve">Comment: </w:t>
            </w:r>
            <w:r w:rsidR="00895661" w:rsidRPr="003150E8">
              <w:t>Revision of the guidance should be in line with the newly created ICH S11 Guidance on Development of Paediatric Medicines. Furthermore, c</w:t>
            </w:r>
            <w:r w:rsidR="002A7A9C" w:rsidRPr="003150E8">
              <w:t xml:space="preserve">onsider </w:t>
            </w:r>
            <w:r w:rsidR="00014568" w:rsidRPr="003150E8">
              <w:t>including</w:t>
            </w:r>
            <w:r w:rsidR="00017178" w:rsidRPr="003150E8">
              <w:t>:</w:t>
            </w:r>
          </w:p>
          <w:p w14:paraId="5FCF30B2" w14:textId="77777777" w:rsidR="009D7CEC" w:rsidRPr="003150E8" w:rsidRDefault="009D7CEC" w:rsidP="003150E8">
            <w:pPr>
              <w:pStyle w:val="TabletextrowsAgency"/>
              <w:spacing w:line="276" w:lineRule="auto"/>
            </w:pPr>
          </w:p>
          <w:p w14:paraId="1977E271" w14:textId="285EF193" w:rsidR="00874B3B" w:rsidRPr="003150E8" w:rsidRDefault="0009383F" w:rsidP="003150E8">
            <w:pPr>
              <w:pStyle w:val="TabletextrowsAgency"/>
              <w:numPr>
                <w:ilvl w:val="0"/>
                <w:numId w:val="22"/>
              </w:numPr>
              <w:spacing w:line="276" w:lineRule="auto"/>
            </w:pPr>
            <w:r w:rsidRPr="003150E8">
              <w:t xml:space="preserve">The animal models </w:t>
            </w:r>
            <w:r w:rsidRPr="003150E8">
              <w:rPr>
                <w:lang w:val="en-US"/>
              </w:rPr>
              <w:t xml:space="preserve">for most disease states affecting newborn infants, preterm or full term </w:t>
            </w:r>
            <w:r w:rsidR="00874B3B" w:rsidRPr="003150E8">
              <w:rPr>
                <w:lang w:val="en-US"/>
              </w:rPr>
              <w:t xml:space="preserve">are </w:t>
            </w:r>
            <w:r w:rsidRPr="003150E8">
              <w:rPr>
                <w:lang w:val="en-US"/>
              </w:rPr>
              <w:t>already exist</w:t>
            </w:r>
            <w:r w:rsidR="00874B3B" w:rsidRPr="003150E8">
              <w:rPr>
                <w:lang w:val="en-US"/>
              </w:rPr>
              <w:t>ing</w:t>
            </w:r>
            <w:r w:rsidRPr="003150E8">
              <w:t xml:space="preserve">. </w:t>
            </w:r>
            <w:r w:rsidR="00874B3B" w:rsidRPr="003150E8">
              <w:rPr>
                <w:lang w:val="en-US"/>
              </w:rPr>
              <w:t xml:space="preserve">To avoid a very broad statement, regarding development of proper animal models, this section should </w:t>
            </w:r>
            <w:r w:rsidR="00D4703D" w:rsidRPr="003150E8">
              <w:rPr>
                <w:lang w:val="en-US"/>
              </w:rPr>
              <w:t>focus on</w:t>
            </w:r>
            <w:r w:rsidR="00874B3B" w:rsidRPr="003150E8">
              <w:rPr>
                <w:lang w:val="en-US"/>
              </w:rPr>
              <w:t xml:space="preserve"> unmet disease states, for which animal models are missing. </w:t>
            </w:r>
          </w:p>
          <w:p w14:paraId="00A3AB7A" w14:textId="03E30502" w:rsidR="00017178" w:rsidRPr="003150E8" w:rsidRDefault="00874B3B" w:rsidP="003150E8">
            <w:pPr>
              <w:pStyle w:val="TabletextrowsAgency"/>
              <w:numPr>
                <w:ilvl w:val="0"/>
                <w:numId w:val="22"/>
              </w:numPr>
              <w:spacing w:line="276" w:lineRule="auto"/>
            </w:pPr>
            <w:r w:rsidRPr="003150E8">
              <w:t>F</w:t>
            </w:r>
            <w:r w:rsidR="00F05897" w:rsidRPr="003150E8">
              <w:t>inding of adequate juvenile animal models with similar organ maturation</w:t>
            </w:r>
            <w:r w:rsidR="0084134F" w:rsidRPr="003150E8">
              <w:t>, covering the effect of prematurity and birth, m</w:t>
            </w:r>
            <w:r w:rsidR="00F05897" w:rsidRPr="003150E8">
              <w:t>ay be challenging. A</w:t>
            </w:r>
            <w:r w:rsidR="00017178" w:rsidRPr="003150E8">
              <w:t xml:space="preserve"> fair judgement of suitability and availability of such models</w:t>
            </w:r>
            <w:r w:rsidR="001A0279" w:rsidRPr="003150E8">
              <w:t xml:space="preserve"> as well as acknowledging the current limitations</w:t>
            </w:r>
            <w:r w:rsidR="00017178" w:rsidRPr="003150E8">
              <w:t xml:space="preserve"> should be </w:t>
            </w:r>
            <w:r w:rsidR="00773D89" w:rsidRPr="003150E8">
              <w:t xml:space="preserve">described in this this section. </w:t>
            </w:r>
          </w:p>
          <w:p w14:paraId="534A1C87" w14:textId="4A1D4E2D" w:rsidR="00BA43F7" w:rsidRPr="003150E8" w:rsidRDefault="002A7A9C" w:rsidP="003150E8">
            <w:pPr>
              <w:pStyle w:val="TabletextrowsAgency"/>
              <w:numPr>
                <w:ilvl w:val="0"/>
                <w:numId w:val="22"/>
              </w:numPr>
              <w:spacing w:line="276" w:lineRule="auto"/>
            </w:pPr>
            <w:r w:rsidRPr="003150E8">
              <w:lastRenderedPageBreak/>
              <w:t xml:space="preserve">Development of animal models with translatable </w:t>
            </w:r>
            <w:r w:rsidR="00014568" w:rsidRPr="003150E8">
              <w:t>designs</w:t>
            </w:r>
            <w:r w:rsidR="00611288" w:rsidRPr="003150E8">
              <w:t xml:space="preserve">, </w:t>
            </w:r>
            <w:r w:rsidR="001E18B5" w:rsidRPr="003150E8">
              <w:t>with focus on</w:t>
            </w:r>
            <w:r w:rsidR="00611288" w:rsidRPr="003150E8">
              <w:t xml:space="preserve"> the extent to which they are </w:t>
            </w:r>
            <w:r w:rsidR="00611288" w:rsidRPr="003150E8">
              <w:rPr>
                <w:i/>
              </w:rPr>
              <w:t>translatable</w:t>
            </w:r>
            <w:r w:rsidR="00611288" w:rsidRPr="003150E8">
              <w:t xml:space="preserve"> to human neonates</w:t>
            </w:r>
            <w:r w:rsidR="00EF2C02" w:rsidRPr="003150E8">
              <w:t xml:space="preserve"> should be discussed</w:t>
            </w:r>
            <w:r w:rsidR="00611288" w:rsidRPr="003150E8">
              <w:t>.</w:t>
            </w:r>
          </w:p>
          <w:p w14:paraId="7ABD6375" w14:textId="7228BD05" w:rsidR="00EF2C02" w:rsidRPr="003150E8" w:rsidRDefault="00EF2C02" w:rsidP="003150E8">
            <w:pPr>
              <w:pStyle w:val="TabletextrowsAgency"/>
              <w:spacing w:line="276" w:lineRule="auto"/>
            </w:pPr>
          </w:p>
        </w:tc>
        <w:tc>
          <w:tcPr>
            <w:tcW w:w="1537" w:type="pct"/>
            <w:shd w:val="clear" w:color="auto" w:fill="E1E3F2"/>
          </w:tcPr>
          <w:p w14:paraId="4E9D6CF9" w14:textId="77777777" w:rsidR="00A12BE2" w:rsidRPr="00561BA0" w:rsidRDefault="00A12BE2">
            <w:pPr>
              <w:pStyle w:val="TabletextrowsAgency"/>
            </w:pPr>
          </w:p>
        </w:tc>
      </w:tr>
      <w:tr w:rsidR="00B7188F" w14:paraId="1891043C" w14:textId="77777777" w:rsidTr="00A83267">
        <w:tc>
          <w:tcPr>
            <w:tcW w:w="973" w:type="pct"/>
            <w:shd w:val="clear" w:color="auto" w:fill="E1E3F2"/>
          </w:tcPr>
          <w:p w14:paraId="5944F020" w14:textId="587E984A" w:rsidR="00B7188F" w:rsidRPr="003150E8" w:rsidRDefault="00894FB4" w:rsidP="003150E8">
            <w:pPr>
              <w:pStyle w:val="TabletextrowsAgency"/>
              <w:spacing w:line="276" w:lineRule="auto"/>
            </w:pPr>
            <w:r w:rsidRPr="003150E8">
              <w:t>3.(</w:t>
            </w:r>
            <w:r w:rsidR="00B7188F" w:rsidRPr="003150E8">
              <w:t>d)</w:t>
            </w:r>
          </w:p>
        </w:tc>
        <w:tc>
          <w:tcPr>
            <w:tcW w:w="484" w:type="pct"/>
            <w:shd w:val="clear" w:color="auto" w:fill="E1E3F2"/>
          </w:tcPr>
          <w:p w14:paraId="44BCE340" w14:textId="77777777" w:rsidR="00B7188F" w:rsidRPr="003150E8" w:rsidRDefault="00B7188F" w:rsidP="003150E8">
            <w:pPr>
              <w:pStyle w:val="TabletextrowsAgency"/>
              <w:spacing w:line="276" w:lineRule="auto"/>
            </w:pPr>
          </w:p>
        </w:tc>
        <w:tc>
          <w:tcPr>
            <w:tcW w:w="2006" w:type="pct"/>
            <w:shd w:val="clear" w:color="auto" w:fill="E1E3F2"/>
          </w:tcPr>
          <w:p w14:paraId="143CE1D1" w14:textId="71BF7F92" w:rsidR="00FC3C53" w:rsidRPr="003150E8" w:rsidRDefault="00C72725" w:rsidP="003F15B3">
            <w:pPr>
              <w:pStyle w:val="TabletextrowsAgency"/>
              <w:spacing w:line="276" w:lineRule="auto"/>
              <w:rPr>
                <w:lang w:val="en-US"/>
              </w:rPr>
            </w:pPr>
            <w:r w:rsidRPr="003150E8">
              <w:t xml:space="preserve">To update the differences of pharmacokinetics, pharmacodynamics and dose finding in different neonatal subgroups would </w:t>
            </w:r>
            <w:r w:rsidRPr="003150E8">
              <w:rPr>
                <w:lang w:val="en-US"/>
              </w:rPr>
              <w:t>require there are specific measurable pharmacodynamics outcomes from all medications in neonates</w:t>
            </w:r>
            <w:r w:rsidR="00D4703D" w:rsidRPr="003150E8">
              <w:rPr>
                <w:lang w:val="en-US"/>
              </w:rPr>
              <w:t xml:space="preserve">, which may </w:t>
            </w:r>
            <w:r w:rsidRPr="003150E8">
              <w:rPr>
                <w:lang w:val="en-US"/>
              </w:rPr>
              <w:t xml:space="preserve">not always </w:t>
            </w:r>
            <w:r w:rsidR="00D4703D" w:rsidRPr="003150E8">
              <w:rPr>
                <w:lang w:val="en-US"/>
              </w:rPr>
              <w:t xml:space="preserve">be </w:t>
            </w:r>
            <w:r w:rsidRPr="003150E8">
              <w:rPr>
                <w:lang w:val="en-US"/>
              </w:rPr>
              <w:t xml:space="preserve">true. </w:t>
            </w:r>
            <w:r w:rsidR="000F6231" w:rsidRPr="003150E8">
              <w:rPr>
                <w:lang w:val="en-US"/>
              </w:rPr>
              <w:t xml:space="preserve">The </w:t>
            </w:r>
            <w:r w:rsidRPr="003150E8">
              <w:rPr>
                <w:lang w:val="en-US"/>
              </w:rPr>
              <w:t>statement</w:t>
            </w:r>
            <w:r w:rsidR="00643E99" w:rsidRPr="003150E8">
              <w:rPr>
                <w:lang w:val="en-US"/>
              </w:rPr>
              <w:t>, therefore,</w:t>
            </w:r>
            <w:r w:rsidRPr="003150E8">
              <w:rPr>
                <w:lang w:val="en-US"/>
              </w:rPr>
              <w:t xml:space="preserve"> should be softened to “where measurable” and “where clinically meaningful.”</w:t>
            </w:r>
          </w:p>
          <w:p w14:paraId="1D66F01C" w14:textId="1570A72C" w:rsidR="00EF2C02" w:rsidRPr="003150E8" w:rsidRDefault="00EF2C02" w:rsidP="003F15B3">
            <w:pPr>
              <w:pStyle w:val="TabletextrowsAgency"/>
              <w:spacing w:line="276" w:lineRule="auto"/>
            </w:pPr>
          </w:p>
        </w:tc>
        <w:tc>
          <w:tcPr>
            <w:tcW w:w="1537" w:type="pct"/>
            <w:shd w:val="clear" w:color="auto" w:fill="E1E3F2"/>
          </w:tcPr>
          <w:p w14:paraId="11161E31" w14:textId="77777777" w:rsidR="00B7188F" w:rsidRPr="00561BA0" w:rsidRDefault="00B7188F" w:rsidP="00C16B84">
            <w:pPr>
              <w:pStyle w:val="TabletextrowsAgency"/>
            </w:pPr>
          </w:p>
        </w:tc>
      </w:tr>
      <w:tr w:rsidR="008F5CE5" w14:paraId="6C05F9C5" w14:textId="77777777" w:rsidTr="00A83267">
        <w:tc>
          <w:tcPr>
            <w:tcW w:w="973" w:type="pct"/>
            <w:shd w:val="clear" w:color="auto" w:fill="E1E3F2"/>
          </w:tcPr>
          <w:p w14:paraId="36ADAAB5" w14:textId="37674F30" w:rsidR="008F5CE5" w:rsidRPr="003150E8" w:rsidRDefault="000727BD" w:rsidP="003150E8">
            <w:pPr>
              <w:pStyle w:val="TabletextrowsAgency"/>
              <w:spacing w:line="276" w:lineRule="auto"/>
            </w:pPr>
            <w:r w:rsidRPr="003150E8">
              <w:t>3.(</w:t>
            </w:r>
            <w:r w:rsidR="008F5CE5" w:rsidRPr="003150E8">
              <w:t>f)</w:t>
            </w:r>
            <w:r w:rsidR="004D47D8" w:rsidRPr="003150E8">
              <w:t xml:space="preserve"> </w:t>
            </w:r>
          </w:p>
        </w:tc>
        <w:tc>
          <w:tcPr>
            <w:tcW w:w="484" w:type="pct"/>
            <w:shd w:val="clear" w:color="auto" w:fill="E1E3F2"/>
          </w:tcPr>
          <w:p w14:paraId="3F7AAB69" w14:textId="77777777" w:rsidR="008F5CE5" w:rsidRPr="003150E8" w:rsidRDefault="008F5CE5" w:rsidP="003150E8">
            <w:pPr>
              <w:pStyle w:val="TabletextrowsAgency"/>
              <w:spacing w:line="276" w:lineRule="auto"/>
            </w:pPr>
          </w:p>
        </w:tc>
        <w:tc>
          <w:tcPr>
            <w:tcW w:w="2006" w:type="pct"/>
            <w:shd w:val="clear" w:color="auto" w:fill="E1E3F2"/>
          </w:tcPr>
          <w:p w14:paraId="3EC6C8C8" w14:textId="77777777" w:rsidR="003B5C16" w:rsidRPr="003150E8" w:rsidRDefault="00FC3C53" w:rsidP="003F15B3">
            <w:pPr>
              <w:pStyle w:val="TabletextrowsAgency"/>
              <w:spacing w:line="276" w:lineRule="auto"/>
              <w:rPr>
                <w:rFonts w:eastAsia="SimSun"/>
              </w:rPr>
            </w:pPr>
            <w:r w:rsidRPr="003150E8">
              <w:t>Comment:</w:t>
            </w:r>
            <w:r w:rsidR="007C163B" w:rsidRPr="003150E8">
              <w:t xml:space="preserve"> Recognition in this section that modelling and simulation “must be correctly a</w:t>
            </w:r>
            <w:r w:rsidR="0056330C" w:rsidRPr="003150E8">
              <w:t>ddressed” is very much welcomed.</w:t>
            </w:r>
            <w:r w:rsidR="007C163B" w:rsidRPr="003150E8">
              <w:t xml:space="preserve"> In light of this, it is proposed that c</w:t>
            </w:r>
            <w:r w:rsidRPr="003150E8">
              <w:t>onsideration should be given to</w:t>
            </w:r>
            <w:r w:rsidR="00F274D4" w:rsidRPr="003150E8">
              <w:t xml:space="preserve"> </w:t>
            </w:r>
            <w:r w:rsidR="00A14AE4" w:rsidRPr="003150E8">
              <w:t>bringing</w:t>
            </w:r>
            <w:r w:rsidR="00F274D4" w:rsidRPr="003150E8">
              <w:rPr>
                <w:rFonts w:eastAsia="SimSun"/>
              </w:rPr>
              <w:t xml:space="preserve"> </w:t>
            </w:r>
            <w:r w:rsidR="002C10AD" w:rsidRPr="003150E8">
              <w:rPr>
                <w:rFonts w:eastAsia="SimSun"/>
              </w:rPr>
              <w:t>“</w:t>
            </w:r>
            <w:r w:rsidR="00F274D4" w:rsidRPr="003150E8">
              <w:rPr>
                <w:rFonts w:eastAsia="SimSun"/>
              </w:rPr>
              <w:t>Modelling and Simulation</w:t>
            </w:r>
            <w:r w:rsidR="002C10AD" w:rsidRPr="003150E8">
              <w:rPr>
                <w:rFonts w:eastAsia="SimSun"/>
              </w:rPr>
              <w:t>”</w:t>
            </w:r>
            <w:r w:rsidR="00F274D4" w:rsidRPr="003150E8">
              <w:rPr>
                <w:rFonts w:eastAsia="SimSun"/>
              </w:rPr>
              <w:t xml:space="preserve"> forward in the paper and </w:t>
            </w:r>
            <w:r w:rsidR="002C10AD" w:rsidRPr="003150E8">
              <w:rPr>
                <w:rFonts w:eastAsia="SimSun"/>
              </w:rPr>
              <w:t>fr</w:t>
            </w:r>
            <w:r w:rsidR="00C65583" w:rsidRPr="003150E8">
              <w:rPr>
                <w:rFonts w:eastAsia="SimSun"/>
              </w:rPr>
              <w:t>o</w:t>
            </w:r>
            <w:r w:rsidR="002C10AD" w:rsidRPr="003150E8">
              <w:rPr>
                <w:rFonts w:eastAsia="SimSun"/>
              </w:rPr>
              <w:t xml:space="preserve">m </w:t>
            </w:r>
            <w:r w:rsidR="00BC4E7D" w:rsidRPr="003150E8">
              <w:rPr>
                <w:rFonts w:eastAsia="SimSun"/>
              </w:rPr>
              <w:t xml:space="preserve">this section the animal models, </w:t>
            </w:r>
            <w:r w:rsidR="00F274D4" w:rsidRPr="003150E8">
              <w:rPr>
                <w:rFonts w:eastAsia="SimSun"/>
              </w:rPr>
              <w:t>PK/PD differences and extrapolation</w:t>
            </w:r>
            <w:r w:rsidR="00BC4E7D" w:rsidRPr="003150E8">
              <w:rPr>
                <w:rFonts w:eastAsia="SimSun"/>
              </w:rPr>
              <w:t xml:space="preserve"> sections</w:t>
            </w:r>
            <w:r w:rsidR="00F274D4" w:rsidRPr="003150E8">
              <w:rPr>
                <w:rFonts w:eastAsia="SimSun"/>
              </w:rPr>
              <w:t xml:space="preserve"> could flow.</w:t>
            </w:r>
            <w:r w:rsidR="002B2283" w:rsidRPr="003150E8">
              <w:rPr>
                <w:rFonts w:eastAsia="SimSun"/>
              </w:rPr>
              <w:t xml:space="preserve"> </w:t>
            </w:r>
          </w:p>
          <w:p w14:paraId="193BE44F" w14:textId="77777777" w:rsidR="003B5C16" w:rsidRPr="003150E8" w:rsidRDefault="003B5C16" w:rsidP="003F15B3">
            <w:pPr>
              <w:pStyle w:val="TabletextrowsAgency"/>
              <w:spacing w:line="276" w:lineRule="auto"/>
              <w:rPr>
                <w:rFonts w:eastAsia="SimSun"/>
              </w:rPr>
            </w:pPr>
          </w:p>
          <w:p w14:paraId="29B27B40" w14:textId="436AF31B" w:rsidR="003B5C16" w:rsidRPr="003150E8" w:rsidRDefault="003B5C16" w:rsidP="003F15B3">
            <w:pPr>
              <w:pStyle w:val="TabletextrowsAgency"/>
              <w:spacing w:line="276" w:lineRule="auto"/>
            </w:pPr>
            <w:r w:rsidRPr="003150E8">
              <w:rPr>
                <w:lang w:val="en-US"/>
              </w:rPr>
              <w:t xml:space="preserve">Furthermore, </w:t>
            </w:r>
            <w:r w:rsidR="000C56FC" w:rsidRPr="003150E8">
              <w:rPr>
                <w:lang w:val="en-US"/>
              </w:rPr>
              <w:t>it is our experience that</w:t>
            </w:r>
            <w:r w:rsidRPr="003150E8">
              <w:rPr>
                <w:lang w:val="en-US"/>
              </w:rPr>
              <w:t xml:space="preserve"> extrapolation of safety from other age groups to neonate is – in principle - possible and </w:t>
            </w:r>
            <w:r w:rsidR="000C56FC" w:rsidRPr="003150E8">
              <w:rPr>
                <w:lang w:val="en-US"/>
              </w:rPr>
              <w:t xml:space="preserve">this </w:t>
            </w:r>
            <w:r w:rsidRPr="003150E8">
              <w:rPr>
                <w:lang w:val="en-US"/>
              </w:rPr>
              <w:t xml:space="preserve">must be addressed in the guidance. </w:t>
            </w:r>
          </w:p>
          <w:p w14:paraId="3AFCC927" w14:textId="77777777" w:rsidR="003B5C16" w:rsidRPr="003150E8" w:rsidRDefault="003B5C16" w:rsidP="003F15B3">
            <w:pPr>
              <w:pStyle w:val="TabletextrowsAgency"/>
              <w:spacing w:line="276" w:lineRule="auto"/>
              <w:rPr>
                <w:rFonts w:eastAsia="SimSun"/>
              </w:rPr>
            </w:pPr>
          </w:p>
          <w:p w14:paraId="6B227E93" w14:textId="238867E7" w:rsidR="008F5CE5" w:rsidRPr="003150E8" w:rsidRDefault="003B5C16" w:rsidP="003F15B3">
            <w:pPr>
              <w:pStyle w:val="TabletextrowsAgency"/>
              <w:spacing w:line="276" w:lineRule="auto"/>
            </w:pPr>
            <w:r w:rsidRPr="003150E8">
              <w:rPr>
                <w:rFonts w:eastAsia="SimSun"/>
              </w:rPr>
              <w:t xml:space="preserve">Furthermore, </w:t>
            </w:r>
            <w:r w:rsidR="00A14AE4" w:rsidRPr="003150E8">
              <w:rPr>
                <w:rFonts w:eastAsia="SimSun"/>
              </w:rPr>
              <w:t>consider covering</w:t>
            </w:r>
            <w:r w:rsidR="00F274D4" w:rsidRPr="003150E8">
              <w:t>:</w:t>
            </w:r>
          </w:p>
          <w:p w14:paraId="47DB3EDF" w14:textId="77777777" w:rsidR="000B7627" w:rsidRPr="003150E8" w:rsidRDefault="000B7627" w:rsidP="003F15B3">
            <w:pPr>
              <w:pStyle w:val="TabletextrowsAgency"/>
              <w:spacing w:line="276" w:lineRule="auto"/>
            </w:pPr>
          </w:p>
          <w:p w14:paraId="353F1804" w14:textId="3F7B1CE1" w:rsidR="00BA7749" w:rsidRPr="003150E8" w:rsidRDefault="00A90261" w:rsidP="003F15B3">
            <w:pPr>
              <w:pStyle w:val="TabletextrowsAgency"/>
              <w:numPr>
                <w:ilvl w:val="0"/>
                <w:numId w:val="23"/>
              </w:numPr>
              <w:spacing w:line="276" w:lineRule="auto"/>
            </w:pPr>
            <w:r w:rsidRPr="003150E8">
              <w:lastRenderedPageBreak/>
              <w:t>Physiolog</w:t>
            </w:r>
            <w:r w:rsidR="008A1A4D" w:rsidRPr="003150E8">
              <w:t xml:space="preserve">ically based PK/PD models, </w:t>
            </w:r>
            <w:r w:rsidRPr="003150E8">
              <w:t>adjust</w:t>
            </w:r>
            <w:r w:rsidR="008A1A4D" w:rsidRPr="003150E8">
              <w:t>ed</w:t>
            </w:r>
            <w:r w:rsidRPr="003150E8">
              <w:t xml:space="preserve"> for </w:t>
            </w:r>
            <w:r w:rsidR="008A1A4D" w:rsidRPr="003150E8">
              <w:t xml:space="preserve">body size, </w:t>
            </w:r>
            <w:r w:rsidR="00D86512" w:rsidRPr="003150E8">
              <w:t>body weight, and age-related physiological changes</w:t>
            </w:r>
            <w:r w:rsidR="008634FD" w:rsidRPr="003150E8">
              <w:t xml:space="preserve"> </w:t>
            </w:r>
            <w:r w:rsidR="00400016" w:rsidRPr="003150E8">
              <w:fldChar w:fldCharType="begin"/>
            </w:r>
            <w:r w:rsidR="00400016" w:rsidRPr="003150E8">
              <w:instrText xml:space="preserve"> ADDIN EN.CITE &lt;EndNote&gt;&lt;Cite&gt;&lt;Author&gt;Michelet&lt;/Author&gt;&lt;Year&gt;2018&lt;/Year&gt;&lt;IDText&gt;The use of PBPK modeling across the pediatric age range using propofol as a case&lt;/IDText&gt;&lt;DisplayText&gt;(Michelet, Van Bocxlaer et al. 2018)&lt;/DisplayText&gt;&lt;record&gt;&lt;dates&gt;&lt;pub-dates&gt;&lt;date&gt;Oct&lt;/date&gt;&lt;/pub-dates&gt;&lt;year&gt;2018&lt;/year&gt;&lt;/dates&gt;&lt;keywords&gt;&lt;keyword&gt;Activity adjustment factor&lt;/keyword&gt;&lt;keyword&gt;IVIVE&lt;/keyword&gt;&lt;keyword&gt;In vivo ontogeny&lt;/keyword&gt;&lt;keyword&gt;Neonates&lt;/keyword&gt;&lt;keyword&gt;PBPK&lt;/keyword&gt;&lt;keyword&gt;Pediatrics&lt;/keyword&gt;&lt;keyword&gt;Propofol&lt;/keyword&gt;&lt;keyword&gt;Retrograde modeling&lt;/keyword&gt;&lt;/keywords&gt;&lt;urls&gt;&lt;related-urls&gt;&lt;url&gt;https://www.ncbi.nlm.nih.gov/pubmed/30298439&lt;/url&gt;&lt;/related-urls&gt;&lt;/urls&gt;&lt;isbn&gt;1573-8744&lt;/isbn&gt;&lt;titles&gt;&lt;title&gt;The use of PBPK modeling across the pediatric age range using propofol as a case&lt;/title&gt;&lt;secondary-title&gt;J Pharmacokinet Pharmacodyn&lt;/secondary-title&gt;&lt;/titles&gt;&lt;contributors&gt;&lt;authors&gt;&lt;author&gt;Michelet, R.&lt;/author&gt;&lt;author&gt;Van Bocxlaer, J.&lt;/author&gt;&lt;author&gt;Allegaert, K.&lt;/author&gt;&lt;author&gt;Vermeulen, A.&lt;/author&gt;&lt;/authors&gt;&lt;/contributors&gt;&lt;edition&gt;2018/10/08&lt;/edition&gt;&lt;language&gt;eng&lt;/language&gt;&lt;added-date format="utc"&gt;1540906718&lt;/added-date&gt;&lt;ref-type name="Journal Article"&gt;17&lt;/ref-type&gt;&lt;rec-number&gt;351&lt;/rec-number&gt;&lt;last-updated-date format="utc"&gt;1540906718&lt;/last-updated-date&gt;&lt;accession-num&gt;30298439&lt;/accession-num&gt;&lt;electronic-resource-num&gt;10.1007/s10928-018-9607-8&lt;/electronic-resource-num&gt;&lt;/record&gt;&lt;/Cite&gt;&lt;/EndNote&gt;</w:instrText>
            </w:r>
            <w:r w:rsidR="00400016" w:rsidRPr="003150E8">
              <w:fldChar w:fldCharType="separate"/>
            </w:r>
            <w:r w:rsidR="00400016" w:rsidRPr="003150E8">
              <w:rPr>
                <w:noProof/>
              </w:rPr>
              <w:t>(Michelet, Van Bocxlaer et al. 2018)</w:t>
            </w:r>
            <w:r w:rsidR="00400016" w:rsidRPr="003150E8">
              <w:fldChar w:fldCharType="end"/>
            </w:r>
            <w:r w:rsidR="00D86512" w:rsidRPr="003150E8">
              <w:t>.</w:t>
            </w:r>
            <w:r w:rsidRPr="003150E8">
              <w:t xml:space="preserve"> </w:t>
            </w:r>
          </w:p>
          <w:p w14:paraId="30543DFB" w14:textId="778CBCCC" w:rsidR="008F5CE5" w:rsidRPr="003150E8" w:rsidRDefault="002C10AD" w:rsidP="003F15B3">
            <w:pPr>
              <w:pStyle w:val="TabletextrowsAgency"/>
              <w:numPr>
                <w:ilvl w:val="0"/>
                <w:numId w:val="23"/>
              </w:numPr>
              <w:spacing w:line="276" w:lineRule="auto"/>
            </w:pPr>
            <w:r w:rsidRPr="003150E8">
              <w:t xml:space="preserve">Practical examples of acceptable extrapolation are welcome and </w:t>
            </w:r>
            <w:r w:rsidR="00FC3C53" w:rsidRPr="003150E8">
              <w:t xml:space="preserve">could </w:t>
            </w:r>
            <w:r w:rsidRPr="003150E8">
              <w:t xml:space="preserve">be </w:t>
            </w:r>
            <w:r w:rsidR="00FC3C53" w:rsidRPr="003150E8">
              <w:t>a useful accompaniment to the</w:t>
            </w:r>
            <w:r w:rsidRPr="003150E8">
              <w:t xml:space="preserve"> guidance.</w:t>
            </w:r>
            <w:r w:rsidR="00FC364F" w:rsidRPr="003150E8">
              <w:t xml:space="preserve"> </w:t>
            </w:r>
          </w:p>
          <w:p w14:paraId="600EA3D3" w14:textId="5F1E545C" w:rsidR="00F05D15" w:rsidRPr="003150E8" w:rsidRDefault="00F05D15" w:rsidP="003F15B3">
            <w:pPr>
              <w:pStyle w:val="TabletextrowsAgency"/>
              <w:spacing w:line="276" w:lineRule="auto"/>
            </w:pPr>
          </w:p>
        </w:tc>
        <w:tc>
          <w:tcPr>
            <w:tcW w:w="1537" w:type="pct"/>
            <w:shd w:val="clear" w:color="auto" w:fill="E1E3F2"/>
          </w:tcPr>
          <w:p w14:paraId="2CAFB6D6" w14:textId="77777777" w:rsidR="008F5CE5" w:rsidRPr="00561BA0" w:rsidRDefault="008F5CE5" w:rsidP="00C16B84">
            <w:pPr>
              <w:pStyle w:val="TabletextrowsAgency"/>
            </w:pPr>
          </w:p>
        </w:tc>
      </w:tr>
      <w:tr w:rsidR="00B02FD3" w14:paraId="611B92A5" w14:textId="77777777" w:rsidTr="00A83267">
        <w:tc>
          <w:tcPr>
            <w:tcW w:w="973" w:type="pct"/>
            <w:shd w:val="clear" w:color="auto" w:fill="E1E3F2"/>
          </w:tcPr>
          <w:p w14:paraId="719C81A5" w14:textId="6522B01D" w:rsidR="00E05D5B" w:rsidRPr="003150E8" w:rsidRDefault="007C163B" w:rsidP="003150E8">
            <w:pPr>
              <w:pStyle w:val="Default"/>
              <w:spacing w:line="276" w:lineRule="auto"/>
              <w:rPr>
                <w:sz w:val="18"/>
                <w:szCs w:val="18"/>
                <w:lang w:val="en-US"/>
              </w:rPr>
            </w:pPr>
            <w:r w:rsidRPr="003150E8">
              <w:rPr>
                <w:sz w:val="18"/>
                <w:szCs w:val="18"/>
                <w:lang w:val="en-US"/>
              </w:rPr>
              <w:t>3.(</w:t>
            </w:r>
            <w:r w:rsidR="004D47D8" w:rsidRPr="003150E8">
              <w:rPr>
                <w:sz w:val="18"/>
                <w:szCs w:val="18"/>
                <w:lang w:val="en-US"/>
              </w:rPr>
              <w:t xml:space="preserve">h) </w:t>
            </w:r>
          </w:p>
          <w:p w14:paraId="2933F5AD" w14:textId="5F47B0B1" w:rsidR="00B02FD3" w:rsidRPr="003150E8" w:rsidRDefault="00B02FD3" w:rsidP="003150E8">
            <w:pPr>
              <w:pStyle w:val="Default"/>
              <w:spacing w:line="276" w:lineRule="auto"/>
              <w:rPr>
                <w:sz w:val="18"/>
                <w:szCs w:val="18"/>
                <w:lang w:val="en-US"/>
              </w:rPr>
            </w:pPr>
          </w:p>
        </w:tc>
        <w:tc>
          <w:tcPr>
            <w:tcW w:w="484" w:type="pct"/>
            <w:shd w:val="clear" w:color="auto" w:fill="E1E3F2"/>
          </w:tcPr>
          <w:p w14:paraId="4964C7E9" w14:textId="77777777" w:rsidR="00B02FD3" w:rsidRPr="003150E8" w:rsidRDefault="00B02FD3" w:rsidP="003150E8">
            <w:pPr>
              <w:pStyle w:val="TabletextrowsAgency"/>
              <w:spacing w:line="276" w:lineRule="auto"/>
            </w:pPr>
          </w:p>
        </w:tc>
        <w:tc>
          <w:tcPr>
            <w:tcW w:w="2006" w:type="pct"/>
            <w:shd w:val="clear" w:color="auto" w:fill="E1E3F2"/>
          </w:tcPr>
          <w:p w14:paraId="68B548C8" w14:textId="2A5C1891" w:rsidR="00B02FD3" w:rsidRPr="003150E8" w:rsidRDefault="0056330C" w:rsidP="003150E8">
            <w:pPr>
              <w:pStyle w:val="TabletextrowsAgency"/>
              <w:spacing w:line="276" w:lineRule="auto"/>
            </w:pPr>
            <w:r w:rsidRPr="003150E8">
              <w:t xml:space="preserve">Comment: </w:t>
            </w:r>
            <w:r w:rsidR="00F05D15" w:rsidRPr="003150E8">
              <w:t>D</w:t>
            </w:r>
            <w:r w:rsidR="000560BD" w:rsidRPr="003150E8">
              <w:t>ifference</w:t>
            </w:r>
            <w:r w:rsidR="00E05D5B" w:rsidRPr="003150E8">
              <w:t>s</w:t>
            </w:r>
            <w:r w:rsidR="000560BD" w:rsidRPr="003150E8">
              <w:t xml:space="preserve"> should also be described in </w:t>
            </w:r>
            <w:r w:rsidR="00720C6B" w:rsidRPr="003150E8">
              <w:t>conjunction with</w:t>
            </w:r>
            <w:r w:rsidR="000560BD" w:rsidRPr="003150E8">
              <w:t xml:space="preserve"> an </w:t>
            </w:r>
            <w:r w:rsidR="007535BF" w:rsidRPr="003150E8">
              <w:t xml:space="preserve">eventual </w:t>
            </w:r>
            <w:r w:rsidR="000560BD" w:rsidRPr="003150E8">
              <w:t>extrapolation of exposure-response rate</w:t>
            </w:r>
            <w:r w:rsidR="00A57122" w:rsidRPr="003150E8">
              <w:t xml:space="preserve"> </w:t>
            </w:r>
            <w:r w:rsidR="000560BD" w:rsidRPr="003150E8">
              <w:t xml:space="preserve">from </w:t>
            </w:r>
            <w:r w:rsidR="00A57122" w:rsidRPr="003150E8">
              <w:t xml:space="preserve">studies in </w:t>
            </w:r>
            <w:r w:rsidR="000560BD" w:rsidRPr="003150E8">
              <w:t>older children/adults</w:t>
            </w:r>
            <w:r w:rsidR="00AD43D2" w:rsidRPr="003150E8">
              <w:t xml:space="preserve"> </w:t>
            </w:r>
            <w:r w:rsidR="008A1A4D" w:rsidRPr="003150E8">
              <w:fldChar w:fldCharType="begin"/>
            </w:r>
            <w:r w:rsidR="008A1A4D" w:rsidRPr="003150E8">
              <w:instrText xml:space="preserve"> ADDIN EN.CITE &lt;EndNote&gt;&lt;Cite&gt;&lt;Author&gt;Ward&lt;/Author&gt;&lt;Year&gt;2017&lt;/Year&gt;&lt;IDText&gt;Safety, dosing, and pharmaceutical quality for studies that evaluate medicinal products (including biological products) in neonates&lt;/IDText&gt;&lt;DisplayText&gt;(Ward, Benjamin et al. 2017)&lt;/DisplayText&gt;&lt;record&gt;&lt;dates&gt;&lt;pub-dates&gt;&lt;date&gt;May&lt;/date&gt;&lt;/pub-dates&gt;&lt;year&gt;2017&lt;/year&gt;&lt;/dates&gt;&lt;keywords&gt;&lt;keyword&gt;Age Factors&lt;/keyword&gt;&lt;keyword&gt;Biological Factors&lt;/keyword&gt;&lt;keyword&gt;Clinical Trials as Topic&lt;/keyword&gt;&lt;keyword&gt;Dose-Response Relationship, Drug&lt;/keyword&gt;&lt;keyword&gt;Drug Dosage Calculations&lt;/keyword&gt;&lt;keyword&gt;Evidence-Based Medicine&lt;/keyword&gt;&lt;keyword&gt;Humans&lt;/keyword&gt;&lt;keyword&gt;Infant, Newborn&lt;/keyword&gt;&lt;keyword&gt;Pharmaceutical Preparations&lt;/keyword&gt;&lt;keyword&gt;Quality Control&lt;/keyword&gt;&lt;keyword&gt;Research Design&lt;/keyword&gt;&lt;keyword&gt;Risk Assessment&lt;/keyword&gt;&lt;keyword&gt;Risk Factors&lt;/keyword&gt;&lt;/keywords&gt;&lt;urls&gt;&lt;related-urls&gt;&lt;url&gt;https://www.ncbi.nlm.nih.gov/pubmed/28248319&lt;/url&gt;&lt;/related-urls&gt;&lt;/urls&gt;&lt;isbn&gt;1530-0447&lt;/isbn&gt;&lt;titles&gt;&lt;title&gt;Safety, dosing, and pharmaceutical quality for studies that evaluate medicinal products (including biological products) in neonates&lt;/title&gt;&lt;secondary-title&gt;Pediatr Res&lt;/secondary-title&gt;&lt;/titles&gt;&lt;pages&gt;692-711&lt;/pages&gt;&lt;number&gt;5&lt;/number&gt;&lt;contributors&gt;&lt;authors&gt;&lt;author&gt;Ward, R. M.&lt;/author&gt;&lt;author&gt;Benjamin, D.&lt;/author&gt;&lt;author&gt;Barrett, J. S.&lt;/author&gt;&lt;author&gt;Allegaert, K.&lt;/author&gt;&lt;author&gt;Portman, R.&lt;/author&gt;&lt;author&gt;Davis, J. M.&lt;/author&gt;&lt;author&gt;Turner, M. A.&lt;/author&gt;&lt;/authors&gt;&lt;/contributors&gt;&lt;edition&gt;2016/11/03&lt;/edition&gt;&lt;language&gt;eng&lt;/language&gt;&lt;added-date format="utc"&gt;1540906331&lt;/added-date&gt;&lt;ref-type name="Journal Article"&gt;17&lt;/ref-type&gt;&lt;rec-number&gt;349&lt;/rec-number&gt;&lt;last-updated-date format="utc"&gt;1540906331&lt;/last-updated-date&gt;&lt;accession-num&gt;28248319&lt;/accession-num&gt;&lt;electronic-resource-num&gt;10.1038/pr.2016.221&lt;/electronic-resource-num&gt;&lt;volume&gt;81&lt;/volume&gt;&lt;/record&gt;&lt;/Cite&gt;&lt;/EndNote&gt;</w:instrText>
            </w:r>
            <w:r w:rsidR="008A1A4D" w:rsidRPr="003150E8">
              <w:fldChar w:fldCharType="separate"/>
            </w:r>
            <w:r w:rsidR="008A1A4D" w:rsidRPr="003150E8">
              <w:rPr>
                <w:noProof/>
              </w:rPr>
              <w:t>(Ward, Benjamin et al. 2017)</w:t>
            </w:r>
            <w:r w:rsidR="008A1A4D" w:rsidRPr="003150E8">
              <w:fldChar w:fldCharType="end"/>
            </w:r>
            <w:r w:rsidR="008A1A4D" w:rsidRPr="003150E8">
              <w:t>.</w:t>
            </w:r>
          </w:p>
          <w:p w14:paraId="3A561C39" w14:textId="3F819170" w:rsidR="00EF2C02" w:rsidRPr="003150E8" w:rsidRDefault="00EF2C02" w:rsidP="003150E8">
            <w:pPr>
              <w:pStyle w:val="TabletextrowsAgency"/>
              <w:spacing w:line="276" w:lineRule="auto"/>
            </w:pPr>
          </w:p>
        </w:tc>
        <w:tc>
          <w:tcPr>
            <w:tcW w:w="1537" w:type="pct"/>
            <w:shd w:val="clear" w:color="auto" w:fill="E1E3F2"/>
          </w:tcPr>
          <w:p w14:paraId="148583BC" w14:textId="77777777" w:rsidR="00B02FD3" w:rsidRPr="00561BA0" w:rsidRDefault="00B02FD3" w:rsidP="00B02FD3">
            <w:pPr>
              <w:pStyle w:val="TabletextrowsAgency"/>
            </w:pPr>
          </w:p>
        </w:tc>
      </w:tr>
      <w:tr w:rsidR="00B02FD3" w:rsidRPr="00B822FC" w14:paraId="0C1BEA81" w14:textId="77777777" w:rsidTr="00A83267">
        <w:tc>
          <w:tcPr>
            <w:tcW w:w="973" w:type="pct"/>
            <w:shd w:val="clear" w:color="auto" w:fill="E1E3F2"/>
          </w:tcPr>
          <w:p w14:paraId="5DE02B02" w14:textId="542CE54A" w:rsidR="00B02FD3" w:rsidRPr="003150E8" w:rsidRDefault="000727BD" w:rsidP="003150E8">
            <w:pPr>
              <w:pStyle w:val="TabletextrowsAgency"/>
              <w:spacing w:line="276" w:lineRule="auto"/>
            </w:pPr>
            <w:r w:rsidRPr="003150E8">
              <w:t>3.(</w:t>
            </w:r>
            <w:proofErr w:type="spellStart"/>
            <w:r w:rsidR="00B02FD3" w:rsidRPr="003150E8">
              <w:t>i</w:t>
            </w:r>
            <w:proofErr w:type="spellEnd"/>
            <w:r w:rsidR="00B02FD3" w:rsidRPr="003150E8">
              <w:t>)</w:t>
            </w:r>
            <w:r w:rsidR="00B02FD3" w:rsidRPr="003150E8">
              <w:rPr>
                <w:lang w:val="en-US"/>
              </w:rPr>
              <w:t xml:space="preserve"> </w:t>
            </w:r>
          </w:p>
        </w:tc>
        <w:tc>
          <w:tcPr>
            <w:tcW w:w="484" w:type="pct"/>
            <w:shd w:val="clear" w:color="auto" w:fill="E1E3F2"/>
          </w:tcPr>
          <w:p w14:paraId="7BDEDCB7" w14:textId="77777777" w:rsidR="00B02FD3" w:rsidRPr="003150E8" w:rsidRDefault="00B02FD3" w:rsidP="003150E8">
            <w:pPr>
              <w:pStyle w:val="TabletextrowsAgency"/>
              <w:spacing w:line="276" w:lineRule="auto"/>
            </w:pPr>
          </w:p>
        </w:tc>
        <w:tc>
          <w:tcPr>
            <w:tcW w:w="2006" w:type="pct"/>
            <w:shd w:val="clear" w:color="auto" w:fill="E1E3F2"/>
          </w:tcPr>
          <w:p w14:paraId="112173F6" w14:textId="78FD242D" w:rsidR="00355C57" w:rsidRPr="003150E8" w:rsidRDefault="00FC3C53" w:rsidP="003150E8">
            <w:pPr>
              <w:pStyle w:val="Default"/>
              <w:spacing w:line="276" w:lineRule="auto"/>
              <w:rPr>
                <w:sz w:val="18"/>
                <w:szCs w:val="18"/>
                <w:lang w:val="en-US"/>
              </w:rPr>
            </w:pPr>
            <w:r w:rsidRPr="003150E8">
              <w:rPr>
                <w:sz w:val="18"/>
                <w:szCs w:val="18"/>
                <w:lang w:val="en-US"/>
              </w:rPr>
              <w:t xml:space="preserve">Comment: </w:t>
            </w:r>
            <w:r w:rsidR="00EC2240" w:rsidRPr="003150E8">
              <w:rPr>
                <w:sz w:val="18"/>
                <w:szCs w:val="18"/>
                <w:lang w:val="en-US"/>
              </w:rPr>
              <w:t>Currently the dose selection for this very vulnerable and heterogeneous population is for most drugs based on weight rather than post conceptual age. It is therefore important, that the updated guidelines emphasize</w:t>
            </w:r>
            <w:r w:rsidRPr="003150E8">
              <w:rPr>
                <w:sz w:val="18"/>
                <w:szCs w:val="18"/>
                <w:lang w:val="en-US"/>
              </w:rPr>
              <w:t xml:space="preserve"> this point</w:t>
            </w:r>
            <w:r w:rsidR="00F649A5" w:rsidRPr="003150E8">
              <w:rPr>
                <w:sz w:val="18"/>
                <w:szCs w:val="18"/>
                <w:lang w:val="en-US"/>
              </w:rPr>
              <w:t>.</w:t>
            </w:r>
            <w:r w:rsidR="00EC2240" w:rsidRPr="003150E8">
              <w:rPr>
                <w:sz w:val="18"/>
                <w:szCs w:val="18"/>
                <w:lang w:val="en-US"/>
              </w:rPr>
              <w:t xml:space="preserve"> </w:t>
            </w:r>
          </w:p>
          <w:p w14:paraId="6E22904E" w14:textId="1E2643CE" w:rsidR="008C7D26" w:rsidRPr="003150E8" w:rsidRDefault="008C7D26" w:rsidP="003150E8">
            <w:pPr>
              <w:pStyle w:val="Default"/>
              <w:spacing w:line="276" w:lineRule="auto"/>
              <w:rPr>
                <w:sz w:val="18"/>
                <w:szCs w:val="18"/>
                <w:lang w:val="en-US"/>
              </w:rPr>
            </w:pPr>
          </w:p>
          <w:p w14:paraId="5B634B65" w14:textId="711A4697" w:rsidR="00444C60" w:rsidRPr="003150E8" w:rsidRDefault="00FC3C53" w:rsidP="003150E8">
            <w:pPr>
              <w:pStyle w:val="Default"/>
              <w:numPr>
                <w:ilvl w:val="0"/>
                <w:numId w:val="35"/>
              </w:numPr>
              <w:spacing w:line="276" w:lineRule="auto"/>
              <w:rPr>
                <w:color w:val="auto"/>
                <w:sz w:val="18"/>
                <w:szCs w:val="18"/>
                <w:lang w:val="en-US"/>
              </w:rPr>
            </w:pPr>
            <w:r w:rsidRPr="003150E8">
              <w:rPr>
                <w:color w:val="auto"/>
                <w:sz w:val="18"/>
                <w:szCs w:val="18"/>
                <w:lang w:val="en-US"/>
              </w:rPr>
              <w:t>Also, it is sugges</w:t>
            </w:r>
            <w:bookmarkStart w:id="1" w:name="_GoBack"/>
            <w:bookmarkEnd w:id="1"/>
            <w:r w:rsidRPr="003150E8">
              <w:rPr>
                <w:color w:val="auto"/>
                <w:sz w:val="18"/>
                <w:szCs w:val="18"/>
                <w:lang w:val="en-US"/>
              </w:rPr>
              <w:t>ted that l</w:t>
            </w:r>
            <w:r w:rsidR="003C49FF" w:rsidRPr="003150E8">
              <w:rPr>
                <w:color w:val="auto"/>
                <w:sz w:val="18"/>
                <w:szCs w:val="18"/>
                <w:lang w:val="en-US"/>
              </w:rPr>
              <w:t xml:space="preserve">arge for gestational age should also be included: all growth abnormalities can affect the pharmacology of the IMP </w:t>
            </w:r>
            <w:r w:rsidR="003C49FF" w:rsidRPr="003150E8">
              <w:rPr>
                <w:color w:val="auto"/>
                <w:sz w:val="18"/>
                <w:szCs w:val="18"/>
                <w:lang w:val="en-US"/>
              </w:rPr>
              <w:fldChar w:fldCharType="begin"/>
            </w:r>
            <w:r w:rsidR="003C49FF" w:rsidRPr="003150E8">
              <w:rPr>
                <w:color w:val="auto"/>
                <w:sz w:val="18"/>
                <w:szCs w:val="18"/>
                <w:lang w:val="en-US"/>
              </w:rPr>
              <w:instrText xml:space="preserve"> ADDIN EN.CITE &lt;EndNote&gt;&lt;Cite&gt;&lt;Author&gt;Ward&lt;/Author&gt;&lt;Year&gt;2017&lt;/Year&gt;&lt;IDText&gt;Safety, dosing, and pharmaceutical quality for studies that evaluate medicinal products (including biological products) in neonates&lt;/IDText&gt;&lt;DisplayText&gt;(Ward, Benjamin et al. 2017)&lt;/DisplayText&gt;&lt;record&gt;&lt;dates&gt;&lt;pub-dates&gt;&lt;date&gt;May&lt;/date&gt;&lt;/pub-dates&gt;&lt;year&gt;2017&lt;/year&gt;&lt;/dates&gt;&lt;keywords&gt;&lt;keyword&gt;Age Factors&lt;/keyword&gt;&lt;keyword&gt;Biological Factors&lt;/keyword&gt;&lt;keyword&gt;Clinical Trials as Topic&lt;/keyword&gt;&lt;keyword&gt;Dose-Response Relationship, Drug&lt;/keyword&gt;&lt;keyword&gt;Drug Dosage Calculations&lt;/keyword&gt;&lt;keyword&gt;Evidence-Based Medicine&lt;/keyword&gt;&lt;keyword&gt;Humans&lt;/keyword&gt;&lt;keyword&gt;Infant, Newborn&lt;/keyword&gt;&lt;keyword&gt;Pharmaceutical Preparations&lt;/keyword&gt;&lt;keyword&gt;Quality Control&lt;/keyword&gt;&lt;keyword&gt;Research Design&lt;/keyword&gt;&lt;keyword&gt;Risk Assessment&lt;/keyword&gt;&lt;keyword&gt;Risk Factors&lt;/keyword&gt;&lt;/keywords&gt;&lt;urls&gt;&lt;related-urls&gt;&lt;url&gt;https://www.ncbi.nlm.nih.gov/pubmed/28248319&lt;/url&gt;&lt;/related-urls&gt;&lt;/urls&gt;&lt;isbn&gt;1530-0447&lt;/isbn&gt;&lt;titles&gt;&lt;title&gt;Safety, dosing, and pharmaceutical quality for studies that evaluate medicinal products (including biological products) in neonates&lt;/title&gt;&lt;secondary-title&gt;Pediatr Res&lt;/secondary-title&gt;&lt;/titles&gt;&lt;pages&gt;692-711&lt;/pages&gt;&lt;number&gt;5&lt;/number&gt;&lt;contributors&gt;&lt;authors&gt;&lt;author&gt;Ward, R. M.&lt;/author&gt;&lt;author&gt;Benjamin, D.&lt;/author&gt;&lt;author&gt;Barrett, J. S.&lt;/author&gt;&lt;author&gt;Allegaert, K.&lt;/author&gt;&lt;author&gt;Portman, R.&lt;/author&gt;&lt;author&gt;Davis, J. M.&lt;/author&gt;&lt;author&gt;Turner, M. A.&lt;/author&gt;&lt;/authors&gt;&lt;/contributors&gt;&lt;edition&gt;2016/11/03&lt;/edition&gt;&lt;language&gt;eng&lt;/language&gt;&lt;added-date format="utc"&gt;1540906331&lt;/added-date&gt;&lt;ref-type name="Journal Article"&gt;17&lt;/ref-type&gt;&lt;rec-number&gt;349&lt;/rec-number&gt;&lt;last-updated-date format="utc"&gt;1540906331&lt;/last-updated-date&gt;&lt;accession-num&gt;28248319&lt;/accession-num&gt;&lt;electronic-resource-num&gt;10.1038/pr.2016.221&lt;/electronic-resource-num&gt;&lt;volume&gt;81&lt;/volume&gt;&lt;/record&gt;&lt;/Cite&gt;&lt;/EndNote&gt;</w:instrText>
            </w:r>
            <w:r w:rsidR="003C49FF" w:rsidRPr="003150E8">
              <w:rPr>
                <w:color w:val="auto"/>
                <w:sz w:val="18"/>
                <w:szCs w:val="18"/>
                <w:lang w:val="en-US"/>
              </w:rPr>
              <w:fldChar w:fldCharType="separate"/>
            </w:r>
            <w:r w:rsidR="003C49FF" w:rsidRPr="003150E8">
              <w:rPr>
                <w:noProof/>
                <w:color w:val="auto"/>
                <w:sz w:val="18"/>
                <w:szCs w:val="18"/>
                <w:lang w:val="en-US"/>
              </w:rPr>
              <w:t>(Ward, Benjamin et al. 2017)</w:t>
            </w:r>
            <w:r w:rsidR="003C49FF" w:rsidRPr="003150E8">
              <w:rPr>
                <w:color w:val="auto"/>
                <w:sz w:val="18"/>
                <w:szCs w:val="18"/>
                <w:lang w:val="en-US"/>
              </w:rPr>
              <w:fldChar w:fldCharType="end"/>
            </w:r>
            <w:r w:rsidR="00444C60" w:rsidRPr="003150E8">
              <w:rPr>
                <w:color w:val="auto"/>
                <w:sz w:val="18"/>
                <w:szCs w:val="18"/>
                <w:lang w:val="en-US"/>
              </w:rPr>
              <w:t>.</w:t>
            </w:r>
          </w:p>
          <w:p w14:paraId="5BCA5B95" w14:textId="7191D16A" w:rsidR="00B02FD3" w:rsidRPr="003150E8" w:rsidRDefault="000D7EAC" w:rsidP="003150E8">
            <w:pPr>
              <w:pStyle w:val="TabletextrowsAgency"/>
              <w:numPr>
                <w:ilvl w:val="0"/>
                <w:numId w:val="35"/>
              </w:numPr>
              <w:spacing w:line="276" w:lineRule="auto"/>
              <w:rPr>
                <w:b/>
                <w:lang w:val="en-US"/>
              </w:rPr>
            </w:pPr>
            <w:r w:rsidRPr="003150E8">
              <w:rPr>
                <w:lang w:val="en-US"/>
              </w:rPr>
              <w:t xml:space="preserve">The </w:t>
            </w:r>
            <w:r w:rsidRPr="003150E8">
              <w:rPr>
                <w:rFonts w:cs="Calibri"/>
              </w:rPr>
              <w:t xml:space="preserve">immature liver function has limited consequences on the healthy term neonate. But </w:t>
            </w:r>
            <w:r w:rsidR="00DB4049" w:rsidRPr="003150E8">
              <w:rPr>
                <w:rFonts w:cs="Calibri"/>
              </w:rPr>
              <w:t xml:space="preserve">the </w:t>
            </w:r>
            <w:r w:rsidRPr="003150E8">
              <w:rPr>
                <w:rFonts w:cs="Calibri"/>
              </w:rPr>
              <w:t xml:space="preserve">preterm neonates are susceptible to the immature liver function and impaired drug metabolism. </w:t>
            </w:r>
            <w:r w:rsidR="003C27C5" w:rsidRPr="003150E8">
              <w:rPr>
                <w:lang w:val="en-US"/>
              </w:rPr>
              <w:t>T</w:t>
            </w:r>
            <w:r w:rsidR="00B02FD3" w:rsidRPr="003150E8">
              <w:rPr>
                <w:lang w:val="en-US"/>
              </w:rPr>
              <w:t xml:space="preserve">he postnatal age has also been reported to have an </w:t>
            </w:r>
            <w:r w:rsidR="00B02FD3" w:rsidRPr="003150E8">
              <w:rPr>
                <w:lang w:val="en-US"/>
              </w:rPr>
              <w:lastRenderedPageBreak/>
              <w:t>impact on the activity of some enzymes</w:t>
            </w:r>
            <w:r w:rsidR="004C0D95" w:rsidRPr="003150E8">
              <w:rPr>
                <w:lang w:val="en-US"/>
              </w:rPr>
              <w:t xml:space="preserve"> </w:t>
            </w:r>
            <w:r w:rsidR="004C0D95" w:rsidRPr="003150E8">
              <w:rPr>
                <w:lang w:val="en-US"/>
              </w:rPr>
              <w:fldChar w:fldCharType="begin"/>
            </w:r>
            <w:r w:rsidR="004C0D95" w:rsidRPr="003150E8">
              <w:rPr>
                <w:lang w:val="en-US"/>
              </w:rPr>
              <w:instrText xml:space="preserve"> ADDIN EN.CITE &lt;EndNote&gt;&lt;Cite&gt;&lt;Author&gt;Ward&lt;/Author&gt;&lt;Year&gt;2017&lt;/Year&gt;&lt;IDText&gt;Safety, dosing, and pharmaceutical quality for studies that evaluate medicinal products (including biological products) in neonates&lt;/IDText&gt;&lt;DisplayText&gt;(Ward, Benjamin et al. 2017)&lt;/DisplayText&gt;&lt;record&gt;&lt;dates&gt;&lt;pub-dates&gt;&lt;date&gt;May&lt;/date&gt;&lt;/pub-dates&gt;&lt;year&gt;2017&lt;/year&gt;&lt;/dates&gt;&lt;keywords&gt;&lt;keyword&gt;Age Factors&lt;/keyword&gt;&lt;keyword&gt;Biological Factors&lt;/keyword&gt;&lt;keyword&gt;Clinical Trials as Topic&lt;/keyword&gt;&lt;keyword&gt;Dose-Response Relationship, Drug&lt;/keyword&gt;&lt;keyword&gt;Drug Dosage Calculations&lt;/keyword&gt;&lt;keyword&gt;Evidence-Based Medicine&lt;/keyword&gt;&lt;keyword&gt;Humans&lt;/keyword&gt;&lt;keyword&gt;Infant, Newborn&lt;/keyword&gt;&lt;keyword&gt;Pharmaceutical Preparations&lt;/keyword&gt;&lt;keyword&gt;Quality Control&lt;/keyword&gt;&lt;keyword&gt;Research Design&lt;/keyword&gt;&lt;keyword&gt;Risk Assessment&lt;/keyword&gt;&lt;keyword&gt;Risk Factors&lt;/keyword&gt;&lt;/keywords&gt;&lt;urls&gt;&lt;related-urls&gt;&lt;url&gt;https://www.ncbi.nlm.nih.gov/pubmed/28248319&lt;/url&gt;&lt;/related-urls&gt;&lt;/urls&gt;&lt;isbn&gt;1530-0447&lt;/isbn&gt;&lt;titles&gt;&lt;title&gt;Safety, dosing, and pharmaceutical quality for studies that evaluate medicinal products (including biological products) in neonates&lt;/title&gt;&lt;secondary-title&gt;Pediatr Res&lt;/secondary-title&gt;&lt;/titles&gt;&lt;pages&gt;692-711&lt;/pages&gt;&lt;number&gt;5&lt;/number&gt;&lt;contributors&gt;&lt;authors&gt;&lt;author&gt;Ward, R. M.&lt;/author&gt;&lt;author&gt;Benjamin, D.&lt;/author&gt;&lt;author&gt;Barrett, J. S.&lt;/author&gt;&lt;author&gt;Allegaert, K.&lt;/author&gt;&lt;author&gt;Portman, R.&lt;/author&gt;&lt;author&gt;Davis, J. M.&lt;/author&gt;&lt;author&gt;Turner, M. A.&lt;/author&gt;&lt;/authors&gt;&lt;/contributors&gt;&lt;edition&gt;2016/11/03&lt;/edition&gt;&lt;language&gt;eng&lt;/language&gt;&lt;added-date format="utc"&gt;1540906331&lt;/added-date&gt;&lt;ref-type name="Journal Article"&gt;17&lt;/ref-type&gt;&lt;rec-number&gt;349&lt;/rec-number&gt;&lt;last-updated-date format="utc"&gt;1540906331&lt;/last-updated-date&gt;&lt;accession-num&gt;28248319&lt;/accession-num&gt;&lt;electronic-resource-num&gt;10.1038/pr.2016.221&lt;/electronic-resource-num&gt;&lt;volume&gt;81&lt;/volume&gt;&lt;/record&gt;&lt;/Cite&gt;&lt;/EndNote&gt;</w:instrText>
            </w:r>
            <w:r w:rsidR="004C0D95" w:rsidRPr="003150E8">
              <w:rPr>
                <w:lang w:val="en-US"/>
              </w:rPr>
              <w:fldChar w:fldCharType="separate"/>
            </w:r>
            <w:r w:rsidR="004C0D95" w:rsidRPr="003150E8">
              <w:rPr>
                <w:noProof/>
                <w:lang w:val="en-US"/>
              </w:rPr>
              <w:t>(Ward, Benjamin et al. 2017)</w:t>
            </w:r>
            <w:r w:rsidR="004C0D95" w:rsidRPr="003150E8">
              <w:rPr>
                <w:lang w:val="en-US"/>
              </w:rPr>
              <w:fldChar w:fldCharType="end"/>
            </w:r>
            <w:r w:rsidR="004C0D95" w:rsidRPr="003150E8">
              <w:rPr>
                <w:lang w:val="en-US"/>
              </w:rPr>
              <w:t>.</w:t>
            </w:r>
            <w:r w:rsidR="003C27C5" w:rsidRPr="003150E8">
              <w:rPr>
                <w:lang w:val="en-US"/>
              </w:rPr>
              <w:t xml:space="preserve"> </w:t>
            </w:r>
            <w:r w:rsidRPr="003150E8">
              <w:rPr>
                <w:lang w:val="en-US"/>
              </w:rPr>
              <w:t>M</w:t>
            </w:r>
            <w:r w:rsidRPr="003150E8">
              <w:rPr>
                <w:rFonts w:cs="Calibri"/>
              </w:rPr>
              <w:t>ore details needed on dynamic changes in liver function during the neonatal period in preterm and term neonates</w:t>
            </w:r>
            <w:r w:rsidR="00CA4D52" w:rsidRPr="003150E8">
              <w:rPr>
                <w:rFonts w:cs="Calibri"/>
              </w:rPr>
              <w:t xml:space="preserve">, specifying </w:t>
            </w:r>
            <w:r w:rsidR="002875E2" w:rsidRPr="003150E8">
              <w:rPr>
                <w:lang w:val="en-US"/>
              </w:rPr>
              <w:t xml:space="preserve">organ and enzyme system </w:t>
            </w:r>
            <w:r w:rsidR="002875E2" w:rsidRPr="003150E8">
              <w:rPr>
                <w:b/>
                <w:lang w:val="en-US"/>
              </w:rPr>
              <w:t xml:space="preserve">maturation </w:t>
            </w:r>
            <w:r w:rsidR="003C27C5" w:rsidRPr="003150E8">
              <w:rPr>
                <w:b/>
                <w:lang w:val="en-US"/>
              </w:rPr>
              <w:t>differences across the postnatal age</w:t>
            </w:r>
            <w:r w:rsidR="002875E2" w:rsidRPr="003150E8">
              <w:rPr>
                <w:b/>
                <w:lang w:val="en-US"/>
              </w:rPr>
              <w:t xml:space="preserve"> subgroups</w:t>
            </w:r>
            <w:r w:rsidR="003C27C5" w:rsidRPr="003150E8">
              <w:rPr>
                <w:b/>
                <w:lang w:val="en-US"/>
              </w:rPr>
              <w:t xml:space="preserve">. </w:t>
            </w:r>
          </w:p>
          <w:p w14:paraId="784EDD00" w14:textId="6A1E730F" w:rsidR="00117E82" w:rsidRPr="003150E8" w:rsidRDefault="00117E82" w:rsidP="003150E8">
            <w:pPr>
              <w:pStyle w:val="Default"/>
              <w:numPr>
                <w:ilvl w:val="0"/>
                <w:numId w:val="35"/>
              </w:numPr>
              <w:spacing w:line="276" w:lineRule="auto"/>
              <w:rPr>
                <w:color w:val="auto"/>
                <w:sz w:val="18"/>
                <w:szCs w:val="18"/>
                <w:lang w:val="en-US"/>
              </w:rPr>
            </w:pPr>
            <w:r w:rsidRPr="003150E8">
              <w:rPr>
                <w:color w:val="auto"/>
                <w:sz w:val="18"/>
                <w:szCs w:val="18"/>
                <w:lang w:val="en-GB"/>
              </w:rPr>
              <w:t>More recent data on de</w:t>
            </w:r>
            <w:r w:rsidR="000B36E7" w:rsidRPr="003150E8">
              <w:rPr>
                <w:color w:val="auto"/>
                <w:sz w:val="18"/>
                <w:szCs w:val="18"/>
                <w:lang w:val="en-GB"/>
              </w:rPr>
              <w:t>velopmental pharmacology should</w:t>
            </w:r>
            <w:r w:rsidR="000D7EAC" w:rsidRPr="003150E8">
              <w:rPr>
                <w:color w:val="auto"/>
                <w:sz w:val="18"/>
                <w:szCs w:val="18"/>
                <w:lang w:val="en-GB"/>
              </w:rPr>
              <w:t xml:space="preserve"> include </w:t>
            </w:r>
            <w:r w:rsidRPr="003150E8">
              <w:rPr>
                <w:color w:val="auto"/>
                <w:sz w:val="18"/>
                <w:szCs w:val="18"/>
                <w:lang w:val="en-US"/>
              </w:rPr>
              <w:t>maturation of cardiovascular receptors: effect of certain drugs (partial agonists, inverse agonists) on the stimulation of G-coupled protein receptors, GCPRs during maturation.</w:t>
            </w:r>
          </w:p>
          <w:p w14:paraId="55FCEE87" w14:textId="392665FA" w:rsidR="00117E82" w:rsidRPr="003150E8" w:rsidRDefault="00117E82" w:rsidP="003150E8">
            <w:pPr>
              <w:pStyle w:val="ListParagraph"/>
              <w:numPr>
                <w:ilvl w:val="0"/>
                <w:numId w:val="35"/>
              </w:numPr>
              <w:spacing w:line="276" w:lineRule="auto"/>
            </w:pPr>
            <w:r w:rsidRPr="003150E8">
              <w:t>More discussion is needed on neurotransmitters and monitoring: potential effects of medicinal products releasing or substituting neurotransmitters in term and preterm (differentiated) on brain maturation and are there any special concerns in preterm neonates (e.g. transitory hypothyroidism).</w:t>
            </w:r>
          </w:p>
          <w:p w14:paraId="556ABB6B" w14:textId="77777777" w:rsidR="007C163B" w:rsidRPr="003150E8" w:rsidRDefault="007C163B" w:rsidP="003150E8">
            <w:pPr>
              <w:pStyle w:val="Default"/>
              <w:spacing w:line="276" w:lineRule="auto"/>
              <w:rPr>
                <w:color w:val="auto"/>
                <w:sz w:val="18"/>
                <w:szCs w:val="18"/>
                <w:lang w:val="en-US"/>
              </w:rPr>
            </w:pPr>
          </w:p>
          <w:p w14:paraId="564590DC" w14:textId="65E00C57" w:rsidR="007C163B" w:rsidRPr="003150E8" w:rsidRDefault="007C163B" w:rsidP="003150E8">
            <w:pPr>
              <w:pStyle w:val="Default"/>
              <w:spacing w:line="276" w:lineRule="auto"/>
              <w:rPr>
                <w:color w:val="auto"/>
                <w:sz w:val="18"/>
                <w:szCs w:val="18"/>
                <w:lang w:val="en-US"/>
              </w:rPr>
            </w:pPr>
            <w:r w:rsidRPr="003150E8">
              <w:rPr>
                <w:color w:val="auto"/>
                <w:sz w:val="18"/>
                <w:szCs w:val="18"/>
                <w:lang w:val="en-US"/>
              </w:rPr>
              <w:t xml:space="preserve">Proposed change: </w:t>
            </w:r>
          </w:p>
          <w:p w14:paraId="45DD1102" w14:textId="78C87038" w:rsidR="007C163B" w:rsidRPr="003150E8" w:rsidRDefault="007C163B" w:rsidP="007D1388">
            <w:pPr>
              <w:pStyle w:val="Default"/>
              <w:spacing w:line="276" w:lineRule="auto"/>
              <w:jc w:val="both"/>
              <w:rPr>
                <w:color w:val="auto"/>
                <w:sz w:val="18"/>
                <w:szCs w:val="18"/>
                <w:lang w:val="en-US"/>
              </w:rPr>
            </w:pPr>
            <w:r w:rsidRPr="003150E8">
              <w:rPr>
                <w:color w:val="auto"/>
                <w:sz w:val="18"/>
                <w:szCs w:val="18"/>
                <w:lang w:val="en-US"/>
              </w:rPr>
              <w:t xml:space="preserve">“There should be a greater focus put on organ and enzyme system maturation differences across the neonatal subgroups (term, preterm, extremely preterm neonates and </w:t>
            </w:r>
            <w:r w:rsidRPr="003150E8">
              <w:rPr>
                <w:b/>
                <w:i/>
                <w:color w:val="auto"/>
                <w:sz w:val="18"/>
                <w:szCs w:val="18"/>
                <w:lang w:val="en-US"/>
              </w:rPr>
              <w:t>across birth weight subgroups</w:t>
            </w:r>
            <w:r w:rsidRPr="003150E8">
              <w:rPr>
                <w:color w:val="auto"/>
                <w:sz w:val="18"/>
                <w:szCs w:val="18"/>
                <w:lang w:val="en-US"/>
              </w:rPr>
              <w:t xml:space="preserve"> (e.g. small, </w:t>
            </w:r>
            <w:r w:rsidRPr="003150E8">
              <w:rPr>
                <w:b/>
                <w:i/>
                <w:color w:val="auto"/>
                <w:sz w:val="18"/>
                <w:szCs w:val="18"/>
                <w:lang w:val="en-US"/>
              </w:rPr>
              <w:t>appropriate and large</w:t>
            </w:r>
            <w:r w:rsidRPr="003150E8">
              <w:rPr>
                <w:color w:val="auto"/>
                <w:sz w:val="18"/>
                <w:szCs w:val="18"/>
                <w:lang w:val="en-US"/>
              </w:rPr>
              <w:t xml:space="preserve"> for gestational age)”.</w:t>
            </w:r>
          </w:p>
          <w:p w14:paraId="63BB4FFC" w14:textId="5F81F953" w:rsidR="00EF2C02" w:rsidRPr="003150E8" w:rsidRDefault="00EF2C02" w:rsidP="003150E8">
            <w:pPr>
              <w:pStyle w:val="ListParagraph"/>
              <w:spacing w:line="276" w:lineRule="auto"/>
              <w:rPr>
                <w:lang w:val="en-US"/>
              </w:rPr>
            </w:pPr>
          </w:p>
        </w:tc>
        <w:tc>
          <w:tcPr>
            <w:tcW w:w="1537" w:type="pct"/>
            <w:shd w:val="clear" w:color="auto" w:fill="E1E3F2"/>
          </w:tcPr>
          <w:p w14:paraId="23F86A8A" w14:textId="77777777" w:rsidR="00B02FD3" w:rsidRPr="00561BA0" w:rsidRDefault="00B02FD3" w:rsidP="00B02FD3">
            <w:pPr>
              <w:pStyle w:val="TabletextrowsAgency"/>
            </w:pPr>
          </w:p>
        </w:tc>
      </w:tr>
      <w:tr w:rsidR="006905D9" w:rsidRPr="00B822FC" w14:paraId="6F2159D3" w14:textId="77777777" w:rsidTr="00A83267">
        <w:tc>
          <w:tcPr>
            <w:tcW w:w="973" w:type="pct"/>
            <w:shd w:val="clear" w:color="auto" w:fill="E1E3F2"/>
          </w:tcPr>
          <w:p w14:paraId="7D7591BC" w14:textId="6A4A9AF6" w:rsidR="006905D9" w:rsidRPr="003150E8" w:rsidRDefault="000727BD" w:rsidP="003150E8">
            <w:pPr>
              <w:pStyle w:val="Default"/>
              <w:spacing w:line="276" w:lineRule="auto"/>
              <w:rPr>
                <w:sz w:val="18"/>
                <w:szCs w:val="18"/>
                <w:lang w:val="en-US"/>
              </w:rPr>
            </w:pPr>
            <w:r w:rsidRPr="003150E8">
              <w:rPr>
                <w:sz w:val="18"/>
                <w:szCs w:val="18"/>
                <w:lang w:val="en-US"/>
              </w:rPr>
              <w:t>3.(</w:t>
            </w:r>
            <w:r w:rsidR="006905D9" w:rsidRPr="003150E8">
              <w:rPr>
                <w:sz w:val="18"/>
                <w:szCs w:val="18"/>
                <w:lang w:val="en-US"/>
              </w:rPr>
              <w:t>j)</w:t>
            </w:r>
          </w:p>
        </w:tc>
        <w:tc>
          <w:tcPr>
            <w:tcW w:w="484" w:type="pct"/>
            <w:shd w:val="clear" w:color="auto" w:fill="E1E3F2"/>
          </w:tcPr>
          <w:p w14:paraId="2264C74B" w14:textId="77777777" w:rsidR="006905D9" w:rsidRPr="003150E8" w:rsidRDefault="006905D9" w:rsidP="003150E8">
            <w:pPr>
              <w:pStyle w:val="TabletextrowsAgency"/>
              <w:spacing w:line="276" w:lineRule="auto"/>
            </w:pPr>
          </w:p>
        </w:tc>
        <w:tc>
          <w:tcPr>
            <w:tcW w:w="2006" w:type="pct"/>
            <w:shd w:val="clear" w:color="auto" w:fill="E1E3F2"/>
          </w:tcPr>
          <w:p w14:paraId="35D72F12" w14:textId="393C2AA0" w:rsidR="00EA35A1" w:rsidRPr="003150E8" w:rsidRDefault="00EA35A1" w:rsidP="003150E8">
            <w:pPr>
              <w:autoSpaceDE w:val="0"/>
              <w:autoSpaceDN w:val="0"/>
              <w:adjustRightInd w:val="0"/>
              <w:spacing w:line="276" w:lineRule="auto"/>
              <w:rPr>
                <w:lang w:val="en-US"/>
              </w:rPr>
            </w:pPr>
            <w:r w:rsidRPr="003150E8">
              <w:rPr>
                <w:lang w:val="en-US"/>
              </w:rPr>
              <w:t>Consideration could be given to:</w:t>
            </w:r>
          </w:p>
          <w:p w14:paraId="2C2DE9BB" w14:textId="0ADFB0C8" w:rsidR="00B97381" w:rsidRPr="003150E8" w:rsidRDefault="00C12C2F" w:rsidP="003150E8">
            <w:pPr>
              <w:pStyle w:val="ListParagraph"/>
              <w:numPr>
                <w:ilvl w:val="0"/>
                <w:numId w:val="36"/>
              </w:numPr>
              <w:autoSpaceDE w:val="0"/>
              <w:autoSpaceDN w:val="0"/>
              <w:adjustRightInd w:val="0"/>
              <w:spacing w:line="276" w:lineRule="auto"/>
              <w:rPr>
                <w:rFonts w:cs="Tahoma"/>
                <w:lang w:val="en-US" w:eastAsia="fr-FR"/>
              </w:rPr>
            </w:pPr>
            <w:r w:rsidRPr="003150E8">
              <w:rPr>
                <w:lang w:val="en-US"/>
              </w:rPr>
              <w:lastRenderedPageBreak/>
              <w:t>D</w:t>
            </w:r>
            <w:r w:rsidR="00B97381" w:rsidRPr="003150E8">
              <w:rPr>
                <w:lang w:val="en-US"/>
              </w:rPr>
              <w:t xml:space="preserve">evelopment and validation of biomarkers identifying the </w:t>
            </w:r>
            <w:r w:rsidR="00B97381" w:rsidRPr="003150E8">
              <w:rPr>
                <w:rFonts w:cs="Tahoma"/>
                <w:lang w:val="en-US" w:eastAsia="fr-FR"/>
              </w:rPr>
              <w:t>disease-related biologic activity that are not necessarily outcome measures.</w:t>
            </w:r>
          </w:p>
          <w:p w14:paraId="5A98C3A7" w14:textId="786C6C6B" w:rsidR="006905D9" w:rsidRPr="003150E8" w:rsidRDefault="00D17E4E" w:rsidP="003150E8">
            <w:pPr>
              <w:pStyle w:val="ListParagraph"/>
              <w:numPr>
                <w:ilvl w:val="0"/>
                <w:numId w:val="36"/>
              </w:numPr>
              <w:autoSpaceDE w:val="0"/>
              <w:autoSpaceDN w:val="0"/>
              <w:adjustRightInd w:val="0"/>
              <w:spacing w:line="276" w:lineRule="auto"/>
              <w:rPr>
                <w:rFonts w:cs="Tahoma"/>
                <w:lang w:val="en-US" w:eastAsia="fr-FR"/>
              </w:rPr>
            </w:pPr>
            <w:r w:rsidRPr="003150E8">
              <w:rPr>
                <w:rFonts w:cs="Tahoma"/>
                <w:lang w:val="en-US" w:eastAsia="fr-FR"/>
              </w:rPr>
              <w:t>The evaluation of digital biomarkers.</w:t>
            </w:r>
          </w:p>
          <w:p w14:paraId="0F3E549A" w14:textId="79A56ECE" w:rsidR="00EF2C02" w:rsidRPr="003150E8" w:rsidRDefault="00EF2C02" w:rsidP="003150E8">
            <w:pPr>
              <w:autoSpaceDE w:val="0"/>
              <w:autoSpaceDN w:val="0"/>
              <w:adjustRightInd w:val="0"/>
              <w:spacing w:line="276" w:lineRule="auto"/>
              <w:rPr>
                <w:lang w:val="en-US"/>
              </w:rPr>
            </w:pPr>
          </w:p>
        </w:tc>
        <w:tc>
          <w:tcPr>
            <w:tcW w:w="1537" w:type="pct"/>
            <w:shd w:val="clear" w:color="auto" w:fill="E1E3F2"/>
          </w:tcPr>
          <w:p w14:paraId="65404EF1" w14:textId="77777777" w:rsidR="006905D9" w:rsidRPr="00561BA0" w:rsidRDefault="006905D9" w:rsidP="00B02FD3">
            <w:pPr>
              <w:pStyle w:val="TabletextrowsAgency"/>
            </w:pPr>
          </w:p>
        </w:tc>
      </w:tr>
      <w:tr w:rsidR="006905D9" w:rsidRPr="00B822FC" w14:paraId="2DFC6271" w14:textId="77777777" w:rsidTr="00A83267">
        <w:tc>
          <w:tcPr>
            <w:tcW w:w="973" w:type="pct"/>
            <w:shd w:val="clear" w:color="auto" w:fill="E1E3F2"/>
          </w:tcPr>
          <w:p w14:paraId="6663315F" w14:textId="54633DF4" w:rsidR="006905D9" w:rsidRPr="003150E8" w:rsidRDefault="000727BD" w:rsidP="003150E8">
            <w:pPr>
              <w:pStyle w:val="Default"/>
              <w:spacing w:line="276" w:lineRule="auto"/>
              <w:rPr>
                <w:sz w:val="18"/>
                <w:szCs w:val="18"/>
                <w:lang w:val="en-US"/>
              </w:rPr>
            </w:pPr>
            <w:r w:rsidRPr="003150E8">
              <w:rPr>
                <w:sz w:val="18"/>
                <w:szCs w:val="18"/>
                <w:lang w:val="en-US"/>
              </w:rPr>
              <w:t>3.(</w:t>
            </w:r>
            <w:r w:rsidR="006905D9" w:rsidRPr="003150E8">
              <w:rPr>
                <w:sz w:val="18"/>
                <w:szCs w:val="18"/>
                <w:lang w:val="en-US"/>
              </w:rPr>
              <w:t xml:space="preserve">k) </w:t>
            </w:r>
          </w:p>
        </w:tc>
        <w:tc>
          <w:tcPr>
            <w:tcW w:w="484" w:type="pct"/>
            <w:shd w:val="clear" w:color="auto" w:fill="E1E3F2"/>
          </w:tcPr>
          <w:p w14:paraId="0669E59A" w14:textId="77777777" w:rsidR="006905D9" w:rsidRPr="003150E8" w:rsidRDefault="006905D9" w:rsidP="003150E8">
            <w:pPr>
              <w:pStyle w:val="TabletextrowsAgency"/>
              <w:spacing w:line="276" w:lineRule="auto"/>
            </w:pPr>
          </w:p>
        </w:tc>
        <w:tc>
          <w:tcPr>
            <w:tcW w:w="2006" w:type="pct"/>
            <w:shd w:val="clear" w:color="auto" w:fill="E1E3F2"/>
          </w:tcPr>
          <w:p w14:paraId="279A017D" w14:textId="56712088" w:rsidR="00EF2C02" w:rsidRPr="003150E8" w:rsidRDefault="001E22DF" w:rsidP="00D17121">
            <w:pPr>
              <w:pStyle w:val="TabletextrowsAgency"/>
              <w:spacing w:line="276" w:lineRule="auto"/>
              <w:jc w:val="both"/>
              <w:rPr>
                <w:lang w:val="en-US"/>
              </w:rPr>
            </w:pPr>
            <w:r w:rsidRPr="003150E8">
              <w:rPr>
                <w:lang w:val="en-US"/>
              </w:rPr>
              <w:t xml:space="preserve">Comment: </w:t>
            </w:r>
            <w:r w:rsidR="00E4653C" w:rsidRPr="003150E8">
              <w:rPr>
                <w:lang w:val="en-US"/>
              </w:rPr>
              <w:t>The concept paper is stating that extrapolation of fetal (intra-uterine) data to preterm neonates could be considered. In view of the fact that dosing of prenatal infants is outside the scope of the guideline</w:t>
            </w:r>
            <w:r w:rsidR="00EA35A1" w:rsidRPr="003150E8">
              <w:rPr>
                <w:lang w:val="en-US"/>
              </w:rPr>
              <w:t>, this statement is confusing.</w:t>
            </w:r>
          </w:p>
        </w:tc>
        <w:tc>
          <w:tcPr>
            <w:tcW w:w="1537" w:type="pct"/>
            <w:shd w:val="clear" w:color="auto" w:fill="E1E3F2"/>
          </w:tcPr>
          <w:p w14:paraId="5A37E942" w14:textId="77777777" w:rsidR="006905D9" w:rsidRPr="00561BA0" w:rsidRDefault="006905D9" w:rsidP="00B02FD3">
            <w:pPr>
              <w:pStyle w:val="TabletextrowsAgency"/>
            </w:pPr>
          </w:p>
        </w:tc>
      </w:tr>
      <w:tr w:rsidR="00B02FD3" w:rsidRPr="00B822FC" w14:paraId="31CCA7A3" w14:textId="77777777" w:rsidTr="00A83267">
        <w:tc>
          <w:tcPr>
            <w:tcW w:w="973" w:type="pct"/>
            <w:shd w:val="clear" w:color="auto" w:fill="E1E3F2"/>
          </w:tcPr>
          <w:p w14:paraId="0E8D86F0" w14:textId="6074FA3B" w:rsidR="00716E96" w:rsidRPr="003150E8" w:rsidRDefault="000727BD" w:rsidP="003150E8">
            <w:pPr>
              <w:pStyle w:val="Default"/>
              <w:spacing w:line="276" w:lineRule="auto"/>
              <w:rPr>
                <w:sz w:val="18"/>
                <w:szCs w:val="18"/>
                <w:lang w:val="en-US"/>
              </w:rPr>
            </w:pPr>
            <w:r w:rsidRPr="003150E8">
              <w:rPr>
                <w:sz w:val="18"/>
                <w:szCs w:val="18"/>
                <w:lang w:val="en-US"/>
              </w:rPr>
              <w:t>3.(</w:t>
            </w:r>
            <w:r w:rsidR="006905D9" w:rsidRPr="003150E8">
              <w:rPr>
                <w:sz w:val="18"/>
                <w:szCs w:val="18"/>
                <w:lang w:val="en-US"/>
              </w:rPr>
              <w:t>l</w:t>
            </w:r>
            <w:r w:rsidR="00716E96" w:rsidRPr="003150E8">
              <w:rPr>
                <w:sz w:val="18"/>
                <w:szCs w:val="18"/>
                <w:lang w:val="en-US"/>
              </w:rPr>
              <w:t xml:space="preserve">) </w:t>
            </w:r>
          </w:p>
          <w:p w14:paraId="742CC03A" w14:textId="15247E38" w:rsidR="00B02FD3" w:rsidRPr="003150E8" w:rsidRDefault="00B02FD3" w:rsidP="003150E8">
            <w:pPr>
              <w:pStyle w:val="Default"/>
              <w:spacing w:line="276" w:lineRule="auto"/>
              <w:rPr>
                <w:sz w:val="18"/>
                <w:szCs w:val="18"/>
                <w:lang w:val="en-US"/>
              </w:rPr>
            </w:pPr>
          </w:p>
        </w:tc>
        <w:tc>
          <w:tcPr>
            <w:tcW w:w="484" w:type="pct"/>
            <w:shd w:val="clear" w:color="auto" w:fill="E1E3F2"/>
          </w:tcPr>
          <w:p w14:paraId="73D763EF" w14:textId="77777777" w:rsidR="00B02FD3" w:rsidRPr="003150E8" w:rsidRDefault="00B02FD3" w:rsidP="003150E8">
            <w:pPr>
              <w:pStyle w:val="TabletextrowsAgency"/>
              <w:spacing w:line="276" w:lineRule="auto"/>
            </w:pPr>
          </w:p>
        </w:tc>
        <w:tc>
          <w:tcPr>
            <w:tcW w:w="2006" w:type="pct"/>
            <w:shd w:val="clear" w:color="auto" w:fill="E1E3F2"/>
          </w:tcPr>
          <w:p w14:paraId="3CC911FF" w14:textId="06D1BFBF" w:rsidR="00B02FD3" w:rsidRPr="003150E8" w:rsidRDefault="00FF22DA" w:rsidP="003150E8">
            <w:pPr>
              <w:pStyle w:val="TabletextrowsAgency"/>
              <w:spacing w:line="276" w:lineRule="auto"/>
              <w:rPr>
                <w:lang w:val="en-US"/>
              </w:rPr>
            </w:pPr>
            <w:r w:rsidRPr="003150E8">
              <w:rPr>
                <w:lang w:val="en-US"/>
              </w:rPr>
              <w:t xml:space="preserve">When describing this section consider: </w:t>
            </w:r>
          </w:p>
          <w:p w14:paraId="069854E1" w14:textId="5AF29C8F" w:rsidR="000B58BE" w:rsidRPr="003150E8" w:rsidRDefault="00B2075B" w:rsidP="003150E8">
            <w:pPr>
              <w:pStyle w:val="TabletextrowsAgency"/>
              <w:numPr>
                <w:ilvl w:val="0"/>
                <w:numId w:val="27"/>
              </w:numPr>
              <w:spacing w:line="276" w:lineRule="auto"/>
            </w:pPr>
            <w:r w:rsidRPr="003150E8">
              <w:t>L</w:t>
            </w:r>
            <w:r w:rsidR="0001775D" w:rsidRPr="003150E8">
              <w:t>ong-term outcome studies</w:t>
            </w:r>
            <w:r w:rsidRPr="003150E8">
              <w:t xml:space="preserve"> to be</w:t>
            </w:r>
            <w:r w:rsidR="0001775D" w:rsidRPr="003150E8">
              <w:t xml:space="preserve"> conducted as </w:t>
            </w:r>
            <w:r w:rsidR="00C20392" w:rsidRPr="003150E8">
              <w:t xml:space="preserve">a </w:t>
            </w:r>
            <w:r w:rsidR="0001775D" w:rsidRPr="003150E8">
              <w:t>part of post</w:t>
            </w:r>
            <w:r w:rsidR="00E65ED5" w:rsidRPr="003150E8">
              <w:t>-</w:t>
            </w:r>
            <w:r w:rsidR="0001775D" w:rsidRPr="003150E8">
              <w:t>marketing risk management plan</w:t>
            </w:r>
            <w:r w:rsidR="00AC7462" w:rsidRPr="003150E8">
              <w:t>,</w:t>
            </w:r>
            <w:r w:rsidR="009148AD" w:rsidRPr="003150E8">
              <w:t xml:space="preserve"> and </w:t>
            </w:r>
            <w:r w:rsidR="00F80145" w:rsidRPr="003150E8">
              <w:t xml:space="preserve">the studies </w:t>
            </w:r>
            <w:r w:rsidR="009148AD" w:rsidRPr="003150E8">
              <w:t xml:space="preserve">should at least </w:t>
            </w:r>
            <w:r w:rsidR="00AA6DC2" w:rsidRPr="003150E8">
              <w:t>cover first 2 years of life (corrected gestation</w:t>
            </w:r>
            <w:r w:rsidR="00C0764C" w:rsidRPr="003150E8">
              <w:t>al age</w:t>
            </w:r>
            <w:r w:rsidR="0039319F" w:rsidRPr="003150E8">
              <w:t>)</w:t>
            </w:r>
            <w:r w:rsidR="00C0764C" w:rsidRPr="003150E8">
              <w:t xml:space="preserve">. </w:t>
            </w:r>
            <w:r w:rsidR="00AA6DC2" w:rsidRPr="003150E8">
              <w:t xml:space="preserve"> </w:t>
            </w:r>
          </w:p>
          <w:p w14:paraId="50E4D0EC" w14:textId="1528ACD3" w:rsidR="00B02FD3" w:rsidRPr="003150E8" w:rsidRDefault="00144396" w:rsidP="003150E8">
            <w:pPr>
              <w:pStyle w:val="TabletextrowsAgency"/>
              <w:numPr>
                <w:ilvl w:val="0"/>
                <w:numId w:val="27"/>
              </w:numPr>
              <w:spacing w:line="276" w:lineRule="auto"/>
            </w:pPr>
            <w:r w:rsidRPr="003150E8">
              <w:t>The</w:t>
            </w:r>
            <w:r w:rsidR="00AB7ECB" w:rsidRPr="003150E8">
              <w:t xml:space="preserve"> </w:t>
            </w:r>
            <w:r w:rsidR="00B65639" w:rsidRPr="003150E8">
              <w:t xml:space="preserve">need of </w:t>
            </w:r>
            <w:r w:rsidRPr="003150E8">
              <w:t xml:space="preserve">a </w:t>
            </w:r>
            <w:r w:rsidR="00B65639" w:rsidRPr="003150E8">
              <w:t xml:space="preserve">standardized </w:t>
            </w:r>
            <w:r w:rsidR="00283A13" w:rsidRPr="003150E8">
              <w:t xml:space="preserve">and validated </w:t>
            </w:r>
            <w:r w:rsidR="00B65639" w:rsidRPr="003150E8">
              <w:t xml:space="preserve">set of short- and long-term endpoints for </w:t>
            </w:r>
            <w:r w:rsidR="00283A13" w:rsidRPr="003150E8">
              <w:t xml:space="preserve">specific </w:t>
            </w:r>
            <w:r w:rsidR="00B65639" w:rsidRPr="003150E8">
              <w:t>medical conditions in preterm and term neonates</w:t>
            </w:r>
            <w:r w:rsidR="00AB7ECB" w:rsidRPr="003150E8">
              <w:t>, which s</w:t>
            </w:r>
            <w:r w:rsidR="00C20392" w:rsidRPr="003150E8">
              <w:t>hould be developed in collaboration with relevant stakeholders</w:t>
            </w:r>
            <w:r w:rsidR="00840221" w:rsidRPr="003150E8">
              <w:t xml:space="preserve"> </w:t>
            </w:r>
            <w:r w:rsidR="008A1A4D" w:rsidRPr="003150E8">
              <w:fldChar w:fldCharType="begin"/>
            </w:r>
            <w:r w:rsidR="008A1A4D" w:rsidRPr="003150E8">
              <w:instrText xml:space="preserve"> ADDIN EN.CITE &lt;EndNote&gt;&lt;Cite&gt;&lt;Author&gt;Ward&lt;/Author&gt;&lt;Year&gt;2017&lt;/Year&gt;&lt;IDText&gt;Safety, dosing, and pharmaceutical quality for studies that evaluate medicinal products (including biological products) in neonates&lt;/IDText&gt;&lt;DisplayText&gt;(Ward, Benjamin et al. 2017)&lt;/DisplayText&gt;&lt;record&gt;&lt;dates&gt;&lt;pub-dates&gt;&lt;date&gt;May&lt;/date&gt;&lt;/pub-dates&gt;&lt;year&gt;2017&lt;/year&gt;&lt;/dates&gt;&lt;keywords&gt;&lt;keyword&gt;Age Factors&lt;/keyword&gt;&lt;keyword&gt;Biological Factors&lt;/keyword&gt;&lt;keyword&gt;Clinical Trials as Topic&lt;/keyword&gt;&lt;keyword&gt;Dose-Response Relationship, Drug&lt;/keyword&gt;&lt;keyword&gt;Drug Dosage Calculations&lt;/keyword&gt;&lt;keyword&gt;Evidence-Based Medicine&lt;/keyword&gt;&lt;keyword&gt;Humans&lt;/keyword&gt;&lt;keyword&gt;Infant, Newborn&lt;/keyword&gt;&lt;keyword&gt;Pharmaceutical Preparations&lt;/keyword&gt;&lt;keyword&gt;Quality Control&lt;/keyword&gt;&lt;keyword&gt;Research Design&lt;/keyword&gt;&lt;keyword&gt;Risk Assessment&lt;/keyword&gt;&lt;keyword&gt;Risk Factors&lt;/keyword&gt;&lt;/keywords&gt;&lt;urls&gt;&lt;related-urls&gt;&lt;url&gt;https://www.ncbi.nlm.nih.gov/pubmed/28248319&lt;/url&gt;&lt;/related-urls&gt;&lt;/urls&gt;&lt;isbn&gt;1530-0447&lt;/isbn&gt;&lt;titles&gt;&lt;title&gt;Safety, dosing, and pharmaceutical quality for studies that evaluate medicinal products (including biological products) in neonates&lt;/title&gt;&lt;secondary-title&gt;Pediatr Res&lt;/secondary-title&gt;&lt;/titles&gt;&lt;pages&gt;692-711&lt;/pages&gt;&lt;number&gt;5&lt;/number&gt;&lt;contributors&gt;&lt;authors&gt;&lt;author&gt;Ward, R. M.&lt;/author&gt;&lt;author&gt;Benjamin, D.&lt;/author&gt;&lt;author&gt;Barrett, J. S.&lt;/author&gt;&lt;author&gt;Allegaert, K.&lt;/author&gt;&lt;author&gt;Portman, R.&lt;/author&gt;&lt;author&gt;Davis, J. M.&lt;/author&gt;&lt;author&gt;Turner, M. A.&lt;/author&gt;&lt;/authors&gt;&lt;/contributors&gt;&lt;edition&gt;2016/11/03&lt;/edition&gt;&lt;language&gt;eng&lt;/language&gt;&lt;added-date format="utc"&gt;1540906331&lt;/added-date&gt;&lt;ref-type name="Journal Article"&gt;17&lt;/ref-type&gt;&lt;rec-number&gt;349&lt;/rec-number&gt;&lt;last-updated-date format="utc"&gt;1540906331&lt;/last-updated-date&gt;&lt;accession-num&gt;28248319&lt;/accession-num&gt;&lt;electronic-resource-num&gt;10.1038/pr.2016.221&lt;/electronic-resource-num&gt;&lt;volume&gt;81&lt;/volume&gt;&lt;/record&gt;&lt;/Cite&gt;&lt;/EndNote&gt;</w:instrText>
            </w:r>
            <w:r w:rsidR="008A1A4D" w:rsidRPr="003150E8">
              <w:fldChar w:fldCharType="separate"/>
            </w:r>
            <w:r w:rsidR="008A1A4D" w:rsidRPr="003150E8">
              <w:rPr>
                <w:noProof/>
              </w:rPr>
              <w:t>(Ward, Benjamin et al. 2017)</w:t>
            </w:r>
            <w:r w:rsidR="008A1A4D" w:rsidRPr="003150E8">
              <w:fldChar w:fldCharType="end"/>
            </w:r>
            <w:r w:rsidR="008A1A4D" w:rsidRPr="003150E8">
              <w:t>.</w:t>
            </w:r>
          </w:p>
          <w:p w14:paraId="2921B333" w14:textId="479D6D0F" w:rsidR="00CE3D7D" w:rsidRPr="003150E8" w:rsidRDefault="00CE3D7D" w:rsidP="003150E8">
            <w:pPr>
              <w:pStyle w:val="TabletextrowsAgency"/>
              <w:spacing w:line="276" w:lineRule="auto"/>
            </w:pPr>
          </w:p>
        </w:tc>
        <w:tc>
          <w:tcPr>
            <w:tcW w:w="1537" w:type="pct"/>
            <w:shd w:val="clear" w:color="auto" w:fill="E1E3F2"/>
          </w:tcPr>
          <w:p w14:paraId="0CE46A3F" w14:textId="77777777" w:rsidR="00B02FD3" w:rsidRPr="00561BA0" w:rsidRDefault="00B02FD3" w:rsidP="00B02FD3">
            <w:pPr>
              <w:pStyle w:val="TabletextrowsAgency"/>
            </w:pPr>
          </w:p>
        </w:tc>
      </w:tr>
    </w:tbl>
    <w:p w14:paraId="0F12182B" w14:textId="77777777" w:rsidR="00CE40AB" w:rsidRDefault="00783391">
      <w:pPr>
        <w:pStyle w:val="TableFigurenoteAgency"/>
      </w:pPr>
      <w:r w:rsidRPr="00B822FC">
        <w:t>Please add more rows if needed.</w:t>
      </w:r>
    </w:p>
    <w:p w14:paraId="61E5B473" w14:textId="77777777" w:rsidR="00CE40AB" w:rsidRDefault="00CE40AB">
      <w:pPr>
        <w:pStyle w:val="TableFigurenoteAgency"/>
      </w:pPr>
    </w:p>
    <w:p w14:paraId="62FD0D35" w14:textId="77777777" w:rsidR="00EA34F3" w:rsidRPr="00EA34F3" w:rsidRDefault="00CE40AB" w:rsidP="00EA34F3">
      <w:pPr>
        <w:pStyle w:val="EndNoteBibliography"/>
      </w:pPr>
      <w:r>
        <w:fldChar w:fldCharType="begin"/>
      </w:r>
      <w:r w:rsidRPr="008360D5">
        <w:rPr>
          <w:lang w:val="da-DK"/>
        </w:rPr>
        <w:instrText xml:space="preserve"> ADDIN EN.REFLIST </w:instrText>
      </w:r>
      <w:r>
        <w:fldChar w:fldCharType="separate"/>
      </w:r>
      <w:r w:rsidR="00EA34F3" w:rsidRPr="00193704">
        <w:rPr>
          <w:lang w:val="da-DK"/>
        </w:rPr>
        <w:t xml:space="preserve">Allegaert, K., A. Smits and J. N. van den Anker (2018). </w:t>
      </w:r>
      <w:r w:rsidR="00EA34F3" w:rsidRPr="00EA34F3">
        <w:t xml:space="preserve">"Drug evaluation studies in neonates: how to overcome the current limitations." </w:t>
      </w:r>
      <w:r w:rsidR="00EA34F3" w:rsidRPr="00EA34F3">
        <w:rPr>
          <w:u w:val="single"/>
        </w:rPr>
        <w:t>Expert Rev Clin Pharmacol</w:t>
      </w:r>
      <w:r w:rsidR="00EA34F3" w:rsidRPr="00EA34F3">
        <w:t xml:space="preserve"> </w:t>
      </w:r>
      <w:r w:rsidR="00EA34F3" w:rsidRPr="00EA34F3">
        <w:rPr>
          <w:b/>
        </w:rPr>
        <w:t>11</w:t>
      </w:r>
      <w:r w:rsidR="00EA34F3" w:rsidRPr="00EA34F3">
        <w:t>(4): 387-396.</w:t>
      </w:r>
    </w:p>
    <w:p w14:paraId="7D40BCDF" w14:textId="77777777" w:rsidR="00EA34F3" w:rsidRPr="00193704" w:rsidRDefault="00EA34F3" w:rsidP="00EA34F3">
      <w:pPr>
        <w:pStyle w:val="EndNoteBibliography"/>
        <w:rPr>
          <w:lang w:val="da-DK"/>
        </w:rPr>
      </w:pPr>
      <w:r w:rsidRPr="00EA34F3">
        <w:t xml:space="preserve">Bai, J. P., J. S. Barrett, G. J. Burckart, B. Meibohm, H. C. Sachs and L. Yao (2013). "Strategic biomarkers for drug development in treating rare diseases and diseases in neonates and infants." </w:t>
      </w:r>
      <w:r w:rsidRPr="00193704">
        <w:rPr>
          <w:u w:val="single"/>
          <w:lang w:val="da-DK"/>
        </w:rPr>
        <w:t>AAPS J</w:t>
      </w:r>
      <w:r w:rsidRPr="00193704">
        <w:rPr>
          <w:lang w:val="da-DK"/>
        </w:rPr>
        <w:t xml:space="preserve"> </w:t>
      </w:r>
      <w:r w:rsidRPr="00193704">
        <w:rPr>
          <w:b/>
          <w:lang w:val="da-DK"/>
        </w:rPr>
        <w:t>15</w:t>
      </w:r>
      <w:r w:rsidRPr="00193704">
        <w:rPr>
          <w:lang w:val="da-DK"/>
        </w:rPr>
        <w:t>(2): 447-454.</w:t>
      </w:r>
    </w:p>
    <w:p w14:paraId="37C06A88" w14:textId="77777777" w:rsidR="00EA34F3" w:rsidRPr="00EA34F3" w:rsidRDefault="00EA34F3" w:rsidP="00EA34F3">
      <w:pPr>
        <w:pStyle w:val="EndNoteBibliography"/>
      </w:pPr>
      <w:r w:rsidRPr="00193704">
        <w:rPr>
          <w:lang w:val="da-DK"/>
        </w:rPr>
        <w:lastRenderedPageBreak/>
        <w:t xml:space="preserve">Michelet, R., J. Van Bocxlaer, K. Allegaert and A. Vermeulen (2018). </w:t>
      </w:r>
      <w:r w:rsidRPr="00EA34F3">
        <w:t xml:space="preserve">"The use of PBPK modeling across the pediatric age range using propofol as a case." </w:t>
      </w:r>
      <w:r w:rsidRPr="00EA34F3">
        <w:rPr>
          <w:u w:val="single"/>
        </w:rPr>
        <w:t>J Pharmacokinet Pharmacodyn</w:t>
      </w:r>
      <w:r w:rsidRPr="00EA34F3">
        <w:t>.</w:t>
      </w:r>
    </w:p>
    <w:p w14:paraId="6FCB1CFF" w14:textId="77777777" w:rsidR="00EA34F3" w:rsidRPr="00EA34F3" w:rsidRDefault="00EA34F3" w:rsidP="00EA34F3">
      <w:pPr>
        <w:pStyle w:val="EndNoteBibliography"/>
      </w:pPr>
      <w:r w:rsidRPr="00EA34F3">
        <w:t xml:space="preserve">Sengupta, S., V. Carrion, J. Shelton, R. J. Wynn, R. M. Ryan, K. Singhal and S. Lakshminrusimha (2013). "Adverse neonatal outcomes associated with early-term birth." </w:t>
      </w:r>
      <w:r w:rsidRPr="00EA34F3">
        <w:rPr>
          <w:u w:val="single"/>
        </w:rPr>
        <w:t>JAMA Pediatr</w:t>
      </w:r>
      <w:r w:rsidRPr="00EA34F3">
        <w:t xml:space="preserve"> </w:t>
      </w:r>
      <w:r w:rsidRPr="00EA34F3">
        <w:rPr>
          <w:b/>
        </w:rPr>
        <w:t>167</w:t>
      </w:r>
      <w:r w:rsidRPr="00EA34F3">
        <w:t>(11): 1053-1059.</w:t>
      </w:r>
    </w:p>
    <w:p w14:paraId="01200EA9" w14:textId="77777777" w:rsidR="00EA34F3" w:rsidRPr="00EA34F3" w:rsidRDefault="00EA34F3" w:rsidP="00EA34F3">
      <w:pPr>
        <w:pStyle w:val="EndNoteBibliography"/>
      </w:pPr>
      <w:r w:rsidRPr="00EA34F3">
        <w:t xml:space="preserve">Ward, R. M., D. Benjamin, J. S. Barrett, K. Allegaert, R. Portman, J. M. Davis and M. A. Turner (2017). "Safety, dosing, and pharmaceutical quality for studies that evaluate medicinal products (including biological products) in neonates." </w:t>
      </w:r>
      <w:r w:rsidRPr="00EA34F3">
        <w:rPr>
          <w:u w:val="single"/>
        </w:rPr>
        <w:t>Pediatr Res</w:t>
      </w:r>
      <w:r w:rsidRPr="00EA34F3">
        <w:t xml:space="preserve"> </w:t>
      </w:r>
      <w:r w:rsidRPr="00EA34F3">
        <w:rPr>
          <w:b/>
        </w:rPr>
        <w:t>81</w:t>
      </w:r>
      <w:r w:rsidRPr="00EA34F3">
        <w:t>(5): 692-711.</w:t>
      </w:r>
    </w:p>
    <w:p w14:paraId="1AF62D9A" w14:textId="77777777" w:rsidR="00EA34F3" w:rsidRPr="00EA34F3" w:rsidRDefault="00EA34F3" w:rsidP="00EA34F3">
      <w:pPr>
        <w:pStyle w:val="EndNoteBibliography"/>
      </w:pPr>
      <w:r w:rsidRPr="00EA34F3">
        <w:t xml:space="preserve">Woodcock, J. and L. M. LaVange (2017). "Master Protocols to Study Multiple Therapies, Multiple Diseases, or Both." </w:t>
      </w:r>
      <w:r w:rsidRPr="00EA34F3">
        <w:rPr>
          <w:u w:val="single"/>
        </w:rPr>
        <w:t>N Engl J Med</w:t>
      </w:r>
      <w:r w:rsidRPr="00EA34F3">
        <w:t xml:space="preserve"> </w:t>
      </w:r>
      <w:r w:rsidRPr="00EA34F3">
        <w:rPr>
          <w:b/>
        </w:rPr>
        <w:t>377</w:t>
      </w:r>
      <w:r w:rsidRPr="00EA34F3">
        <w:t>(1): 62-70.</w:t>
      </w:r>
    </w:p>
    <w:p w14:paraId="26001D73" w14:textId="45DF1A06" w:rsidR="00783391" w:rsidRPr="00B822FC" w:rsidRDefault="00CE40AB">
      <w:pPr>
        <w:pStyle w:val="TableFigurenoteAgency"/>
      </w:pPr>
      <w:r>
        <w:fldChar w:fldCharType="end"/>
      </w:r>
    </w:p>
    <w:sectPr w:rsidR="00783391" w:rsidRPr="00B822FC">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24445" w14:textId="77777777" w:rsidR="006B150D" w:rsidRDefault="006B150D">
      <w:r>
        <w:separator/>
      </w:r>
    </w:p>
  </w:endnote>
  <w:endnote w:type="continuationSeparator" w:id="0">
    <w:p w14:paraId="2F34CA66" w14:textId="77777777" w:rsidR="006B150D" w:rsidRDefault="006B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1E0" w:firstRow="1" w:lastRow="1" w:firstColumn="1" w:lastColumn="1" w:noHBand="0" w:noVBand="0"/>
    </w:tblPr>
    <w:tblGrid>
      <w:gridCol w:w="9590"/>
      <w:gridCol w:w="4980"/>
    </w:tblGrid>
    <w:tr w:rsidR="007C163B" w:rsidRPr="00A44B87" w14:paraId="6D37B45A" w14:textId="77777777" w:rsidTr="00416A4F">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14:paraId="62A19E03" w14:textId="77777777" w:rsidR="007C163B" w:rsidRPr="00A44B87" w:rsidRDefault="007C163B">
          <w:pPr>
            <w:pStyle w:val="FooterAgency"/>
          </w:pPr>
        </w:p>
      </w:tc>
    </w:tr>
    <w:tr w:rsidR="007C163B" w:rsidRPr="00A44B87" w14:paraId="5CE47DF8" w14:textId="77777777" w:rsidTr="00416A4F">
      <w:trPr>
        <w:trHeight w:val="355"/>
      </w:trPr>
      <w:tc>
        <w:tcPr>
          <w:tcW w:w="3291" w:type="pct"/>
          <w:shd w:val="clear" w:color="auto" w:fill="auto"/>
          <w:tcMar>
            <w:left w:w="0" w:type="dxa"/>
            <w:right w:w="0" w:type="dxa"/>
          </w:tcMar>
        </w:tcPr>
        <w:p w14:paraId="0D0EC3AE" w14:textId="77777777" w:rsidR="007C163B" w:rsidRPr="00A44B87" w:rsidRDefault="007C163B">
          <w:pPr>
            <w:pStyle w:val="FooterAgency"/>
          </w:pPr>
        </w:p>
      </w:tc>
      <w:tc>
        <w:tcPr>
          <w:tcW w:w="1709" w:type="pct"/>
          <w:shd w:val="clear" w:color="auto" w:fill="auto"/>
          <w:tcMar>
            <w:left w:w="0" w:type="dxa"/>
            <w:right w:w="0" w:type="dxa"/>
          </w:tcMar>
        </w:tcPr>
        <w:p w14:paraId="0A759BBE" w14:textId="77777777" w:rsidR="007C163B" w:rsidRPr="00A44B87" w:rsidRDefault="007C163B">
          <w:pPr>
            <w:pStyle w:val="FooterAgency"/>
          </w:pPr>
        </w:p>
      </w:tc>
    </w:tr>
    <w:tr w:rsidR="007C163B" w:rsidRPr="00A44B87" w14:paraId="5E75FBCA" w14:textId="77777777" w:rsidTr="00416A4F">
      <w:tc>
        <w:tcPr>
          <w:tcW w:w="3291" w:type="pct"/>
          <w:shd w:val="clear" w:color="auto" w:fill="auto"/>
          <w:tcMar>
            <w:left w:w="0" w:type="dxa"/>
            <w:right w:w="0" w:type="dxa"/>
          </w:tcMar>
        </w:tcPr>
        <w:p w14:paraId="44C18AE7" w14:textId="77777777" w:rsidR="007C163B" w:rsidRPr="00A44B87" w:rsidRDefault="007C163B">
          <w:pPr>
            <w:pStyle w:val="FooterAgency"/>
          </w:pPr>
        </w:p>
      </w:tc>
      <w:tc>
        <w:tcPr>
          <w:tcW w:w="1709" w:type="pct"/>
          <w:shd w:val="clear" w:color="auto" w:fill="auto"/>
          <w:tcMar>
            <w:left w:w="0" w:type="dxa"/>
            <w:right w:w="0" w:type="dxa"/>
          </w:tcMar>
        </w:tcPr>
        <w:p w14:paraId="4FFAAAC4" w14:textId="4038D944" w:rsidR="007C163B" w:rsidRPr="00A44B87" w:rsidRDefault="007C163B" w:rsidP="00416A4F">
          <w:pPr>
            <w:pStyle w:val="PagenumberAgency"/>
            <w:ind w:right="210"/>
          </w:pPr>
          <w:r w:rsidRPr="006E62FC">
            <w:fldChar w:fldCharType="begin"/>
          </w:r>
          <w:r w:rsidRPr="006E62FC">
            <w:instrText xml:space="preserve"> PAGE </w:instrText>
          </w:r>
          <w:r w:rsidRPr="006E62FC">
            <w:fldChar w:fldCharType="separate"/>
          </w:r>
          <w:r w:rsidR="006F59EE">
            <w:rPr>
              <w:noProof/>
            </w:rPr>
            <w:t>8</w:t>
          </w:r>
          <w:r w:rsidRPr="006E62FC">
            <w:fldChar w:fldCharType="end"/>
          </w:r>
          <w:r w:rsidRPr="006E62FC">
            <w:t>/</w:t>
          </w:r>
          <w:r w:rsidRPr="006E62FC">
            <w:fldChar w:fldCharType="begin"/>
          </w:r>
          <w:r w:rsidRPr="006E62FC">
            <w:instrText xml:space="preserve"> NUMPAGES </w:instrText>
          </w:r>
          <w:r w:rsidRPr="006E62FC">
            <w:fldChar w:fldCharType="separate"/>
          </w:r>
          <w:r w:rsidR="006F59EE">
            <w:rPr>
              <w:noProof/>
            </w:rPr>
            <w:t>11</w:t>
          </w:r>
          <w:r w:rsidRPr="006E62FC">
            <w:fldChar w:fldCharType="end"/>
          </w:r>
        </w:p>
      </w:tc>
    </w:tr>
  </w:tbl>
  <w:p w14:paraId="6F49655F" w14:textId="77777777" w:rsidR="007C163B" w:rsidRDefault="007C163B">
    <w:pPr>
      <w:pStyle w:val="FooterAgency"/>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5904" w14:textId="77777777" w:rsidR="007C163B" w:rsidRDefault="007C163B" w:rsidP="00C57A78">
    <w:pPr>
      <w:pStyle w:val="FooterAgency"/>
    </w:pPr>
  </w:p>
  <w:tbl>
    <w:tblPr>
      <w:tblW w:w="5000" w:type="pct"/>
      <w:tblLayout w:type="fixed"/>
      <w:tblLook w:val="01E0" w:firstRow="1" w:lastRow="1" w:firstColumn="1" w:lastColumn="1" w:noHBand="0" w:noVBand="0"/>
    </w:tblPr>
    <w:tblGrid>
      <w:gridCol w:w="6206"/>
      <w:gridCol w:w="3207"/>
    </w:tblGrid>
    <w:tr w:rsidR="007C163B" w14:paraId="4320131C" w14:textId="77777777" w:rsidTr="00C57A78">
      <w:tc>
        <w:tcPr>
          <w:tcW w:w="9413" w:type="dxa"/>
          <w:gridSpan w:val="2"/>
          <w:tcBorders>
            <w:top w:val="single" w:sz="2" w:space="0" w:color="auto"/>
            <w:left w:val="nil"/>
            <w:bottom w:val="nil"/>
            <w:right w:val="nil"/>
          </w:tcBorders>
          <w:tcMar>
            <w:top w:w="0" w:type="dxa"/>
            <w:left w:w="0" w:type="dxa"/>
            <w:bottom w:w="0" w:type="dxa"/>
            <w:right w:w="0" w:type="dxa"/>
          </w:tcMar>
          <w:vAlign w:val="bottom"/>
        </w:tcPr>
        <w:p w14:paraId="326AB7F5" w14:textId="77777777" w:rsidR="007C163B" w:rsidRDefault="007C163B">
          <w:pPr>
            <w:pStyle w:val="FooterAgency"/>
          </w:pPr>
        </w:p>
      </w:tc>
    </w:tr>
    <w:tr w:rsidR="007C163B" w14:paraId="11A92777" w14:textId="77777777" w:rsidTr="00C57A78">
      <w:trPr>
        <w:trHeight w:hRule="exact" w:val="198"/>
      </w:trPr>
      <w:tc>
        <w:tcPr>
          <w:tcW w:w="6206" w:type="dxa"/>
          <w:tcMar>
            <w:top w:w="0" w:type="dxa"/>
            <w:left w:w="0" w:type="dxa"/>
            <w:bottom w:w="0" w:type="dxa"/>
            <w:right w:w="0" w:type="dxa"/>
          </w:tcMar>
          <w:vAlign w:val="bottom"/>
          <w:hideMark/>
        </w:tcPr>
        <w:p w14:paraId="408A0299" w14:textId="77777777" w:rsidR="007C163B" w:rsidRDefault="007C163B">
          <w:pPr>
            <w:pStyle w:val="FooterAgency"/>
          </w:pPr>
          <w:r>
            <w:t xml:space="preserve">30 Churchill Place </w:t>
          </w:r>
          <w:r>
            <w:rPr>
              <w:rStyle w:val="FooterblueAgencyCharChar"/>
            </w:rPr>
            <w:t>●</w:t>
          </w:r>
          <w:r>
            <w:t xml:space="preserve"> Canary Wharf </w:t>
          </w:r>
          <w:r>
            <w:rPr>
              <w:rStyle w:val="FooterblueAgencyCharChar"/>
            </w:rPr>
            <w:t>●</w:t>
          </w:r>
          <w:r>
            <w:t xml:space="preserve"> London E14 5EU </w:t>
          </w:r>
          <w:r>
            <w:rPr>
              <w:rStyle w:val="FooterblueAgencyCharChar"/>
            </w:rPr>
            <w:t>●</w:t>
          </w:r>
          <w:r>
            <w:t xml:space="preserve"> United Kingdom</w:t>
          </w:r>
        </w:p>
      </w:tc>
      <w:tc>
        <w:tcPr>
          <w:tcW w:w="3207" w:type="dxa"/>
          <w:vMerge w:val="restart"/>
          <w:tcMar>
            <w:top w:w="0" w:type="dxa"/>
            <w:left w:w="0" w:type="dxa"/>
            <w:bottom w:w="0" w:type="dxa"/>
            <w:right w:w="0" w:type="dxa"/>
          </w:tcMar>
          <w:vAlign w:val="bottom"/>
          <w:hideMark/>
        </w:tcPr>
        <w:tbl>
          <w:tblPr>
            <w:tblW w:w="0" w:type="auto"/>
            <w:jc w:val="right"/>
            <w:tblLayout w:type="fixed"/>
            <w:tblLook w:val="01E0" w:firstRow="1" w:lastRow="1" w:firstColumn="1" w:lastColumn="1" w:noHBand="0" w:noVBand="0"/>
          </w:tblPr>
          <w:tblGrid>
            <w:gridCol w:w="2478"/>
            <w:gridCol w:w="709"/>
          </w:tblGrid>
          <w:tr w:rsidR="007C163B" w14:paraId="7C337CD5" w14:textId="77777777">
            <w:trPr>
              <w:trHeight w:hRule="exact" w:val="180"/>
              <w:tblHeader/>
              <w:jc w:val="right"/>
            </w:trPr>
            <w:tc>
              <w:tcPr>
                <w:tcW w:w="2478" w:type="dxa"/>
                <w:vMerge w:val="restart"/>
                <w:vAlign w:val="bottom"/>
                <w:hideMark/>
              </w:tcPr>
              <w:p w14:paraId="099270DE" w14:textId="77777777" w:rsidR="007C163B" w:rsidRDefault="007C163B">
                <w:pPr>
                  <w:pStyle w:val="FooterAgency"/>
                  <w:jc w:val="right"/>
                </w:pPr>
                <w:r>
                  <w:rPr>
                    <w:sz w:val="11"/>
                    <w:szCs w:val="11"/>
                  </w:rPr>
                  <w:t xml:space="preserve">An agency of the European Union  </w:t>
                </w:r>
              </w:p>
            </w:tc>
            <w:tc>
              <w:tcPr>
                <w:tcW w:w="709" w:type="dxa"/>
                <w:vMerge w:val="restart"/>
                <w:tcMar>
                  <w:top w:w="0" w:type="dxa"/>
                  <w:left w:w="108" w:type="dxa"/>
                  <w:bottom w:w="0" w:type="dxa"/>
                  <w:right w:w="6" w:type="dxa"/>
                </w:tcMar>
                <w:vAlign w:val="bottom"/>
                <w:hideMark/>
              </w:tcPr>
              <w:p w14:paraId="52009A7D" w14:textId="0BA70357" w:rsidR="007C163B" w:rsidRDefault="007C163B">
                <w:pPr>
                  <w:pStyle w:val="FooterAgency"/>
                  <w:jc w:val="right"/>
                </w:pPr>
                <w:r>
                  <w:rPr>
                    <w:noProof/>
                  </w:rPr>
                  <w:drawing>
                    <wp:inline distT="0" distB="0" distL="0" distR="0" wp14:anchorId="2FCA16DD" wp14:editId="0CCF66CA">
                      <wp:extent cx="374015" cy="258445"/>
                      <wp:effectExtent l="0" t="0" r="0" b="0"/>
                      <wp:docPr id="2" name="Picture 2"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15" cy="258445"/>
                              </a:xfrm>
                              <a:prstGeom prst="rect">
                                <a:avLst/>
                              </a:prstGeom>
                              <a:noFill/>
                              <a:ln>
                                <a:noFill/>
                              </a:ln>
                            </pic:spPr>
                          </pic:pic>
                        </a:graphicData>
                      </a:graphic>
                    </wp:inline>
                  </w:drawing>
                </w:r>
              </w:p>
            </w:tc>
          </w:tr>
          <w:tr w:rsidR="007C163B" w14:paraId="342C338A" w14:textId="77777777">
            <w:trPr>
              <w:trHeight w:hRule="exact" w:val="390"/>
              <w:jc w:val="right"/>
            </w:trPr>
            <w:tc>
              <w:tcPr>
                <w:tcW w:w="2478" w:type="dxa"/>
                <w:vMerge/>
                <w:vAlign w:val="center"/>
                <w:hideMark/>
              </w:tcPr>
              <w:p w14:paraId="5E48E5E6" w14:textId="77777777" w:rsidR="007C163B" w:rsidRDefault="007C163B">
                <w:pPr>
                  <w:rPr>
                    <w:rFonts w:eastAsia="Verdana"/>
                    <w:color w:val="6D6F71"/>
                    <w:sz w:val="14"/>
                    <w:szCs w:val="14"/>
                    <w:lang w:eastAsia="en-GB"/>
                  </w:rPr>
                </w:pPr>
              </w:p>
            </w:tc>
            <w:tc>
              <w:tcPr>
                <w:tcW w:w="709" w:type="dxa"/>
                <w:vMerge/>
                <w:vAlign w:val="center"/>
                <w:hideMark/>
              </w:tcPr>
              <w:p w14:paraId="2DA87F66" w14:textId="77777777" w:rsidR="007C163B" w:rsidRDefault="007C163B">
                <w:pPr>
                  <w:rPr>
                    <w:rFonts w:eastAsia="Verdana"/>
                    <w:color w:val="6D6F71"/>
                    <w:sz w:val="14"/>
                    <w:szCs w:val="14"/>
                    <w:lang w:eastAsia="en-GB"/>
                  </w:rPr>
                </w:pPr>
              </w:p>
            </w:tc>
          </w:tr>
        </w:tbl>
        <w:p w14:paraId="1EC1F38D" w14:textId="77777777" w:rsidR="007C163B" w:rsidRDefault="007C163B">
          <w:pPr>
            <w:pStyle w:val="FooterAgency"/>
            <w:widowControl w:val="0"/>
            <w:adjustRightInd w:val="0"/>
            <w:jc w:val="right"/>
          </w:pPr>
        </w:p>
      </w:tc>
    </w:tr>
    <w:tr w:rsidR="007C163B" w14:paraId="1210264C" w14:textId="77777777" w:rsidTr="00C57A78">
      <w:trPr>
        <w:trHeight w:val="390"/>
      </w:trPr>
      <w:tc>
        <w:tcPr>
          <w:tcW w:w="6206" w:type="dxa"/>
          <w:tcMar>
            <w:top w:w="0" w:type="dxa"/>
            <w:left w:w="0" w:type="dxa"/>
            <w:bottom w:w="0" w:type="dxa"/>
            <w:right w:w="0" w:type="dxa"/>
          </w:tcMar>
          <w:vAlign w:val="bottom"/>
          <w:hideMark/>
        </w:tcPr>
        <w:tbl>
          <w:tblPr>
            <w:tblW w:w="0" w:type="auto"/>
            <w:tblLayout w:type="fixed"/>
            <w:tblCellMar>
              <w:left w:w="0" w:type="dxa"/>
              <w:right w:w="0" w:type="dxa"/>
            </w:tblCellMar>
            <w:tblLook w:val="01E0" w:firstRow="1" w:lastRow="1" w:firstColumn="1" w:lastColumn="1" w:noHBand="0" w:noVBand="0"/>
          </w:tblPr>
          <w:tblGrid>
            <w:gridCol w:w="840"/>
            <w:gridCol w:w="1648"/>
            <w:gridCol w:w="726"/>
            <w:gridCol w:w="2767"/>
          </w:tblGrid>
          <w:tr w:rsidR="007C163B" w14:paraId="14A31609" w14:textId="77777777">
            <w:trPr>
              <w:trHeight w:hRule="exact" w:val="198"/>
            </w:trPr>
            <w:tc>
              <w:tcPr>
                <w:tcW w:w="840" w:type="dxa"/>
                <w:vAlign w:val="bottom"/>
                <w:hideMark/>
              </w:tcPr>
              <w:p w14:paraId="215BBF66" w14:textId="77777777" w:rsidR="007C163B" w:rsidRDefault="007C163B">
                <w:pPr>
                  <w:pStyle w:val="FooterblueAgency"/>
                </w:pPr>
                <w:r>
                  <w:t>Telephone</w:t>
                </w:r>
              </w:p>
            </w:tc>
            <w:tc>
              <w:tcPr>
                <w:tcW w:w="1648" w:type="dxa"/>
                <w:vAlign w:val="bottom"/>
                <w:hideMark/>
              </w:tcPr>
              <w:p w14:paraId="57CA6440" w14:textId="77777777" w:rsidR="007C163B" w:rsidRDefault="007C163B">
                <w:pPr>
                  <w:pStyle w:val="FooterAgency"/>
                </w:pPr>
                <w:r>
                  <w:t>+44 (0)20 3660 6000</w:t>
                </w:r>
              </w:p>
            </w:tc>
            <w:tc>
              <w:tcPr>
                <w:tcW w:w="726" w:type="dxa"/>
                <w:vAlign w:val="bottom"/>
                <w:hideMark/>
              </w:tcPr>
              <w:p w14:paraId="0A74CDEF" w14:textId="77777777" w:rsidR="007C163B" w:rsidRDefault="007C163B">
                <w:pPr>
                  <w:pStyle w:val="FooterblueAgency"/>
                </w:pPr>
                <w:r>
                  <w:t>Facsimile</w:t>
                </w:r>
              </w:p>
            </w:tc>
            <w:tc>
              <w:tcPr>
                <w:tcW w:w="2767" w:type="dxa"/>
                <w:vAlign w:val="bottom"/>
                <w:hideMark/>
              </w:tcPr>
              <w:p w14:paraId="3E0D05C4" w14:textId="77777777" w:rsidR="007C163B" w:rsidRDefault="007C163B">
                <w:pPr>
                  <w:pStyle w:val="FooterAgency"/>
                </w:pPr>
                <w:r>
                  <w:t>+44 (0)20 3660 5555</w:t>
                </w:r>
              </w:p>
            </w:tc>
          </w:tr>
          <w:tr w:rsidR="007C163B" w14:paraId="0978BD05" w14:textId="77777777">
            <w:trPr>
              <w:trHeight w:val="198"/>
            </w:trPr>
            <w:tc>
              <w:tcPr>
                <w:tcW w:w="5981" w:type="dxa"/>
                <w:gridSpan w:val="4"/>
                <w:vAlign w:val="bottom"/>
                <w:hideMark/>
              </w:tcPr>
              <w:p w14:paraId="4F9104FA" w14:textId="77777777" w:rsidR="007C163B" w:rsidRDefault="007C163B">
                <w:pPr>
                  <w:pStyle w:val="FooterAgency"/>
                </w:pPr>
                <w:r>
                  <w:rPr>
                    <w:rStyle w:val="FooterblueAgencyCharChar"/>
                  </w:rPr>
                  <w:t>Send a question via our website</w:t>
                </w:r>
                <w:r>
                  <w:t xml:space="preserve"> www.ema.europa.eu/contact</w:t>
                </w:r>
              </w:p>
            </w:tc>
          </w:tr>
        </w:tbl>
        <w:p w14:paraId="77F82641" w14:textId="77777777" w:rsidR="007C163B" w:rsidRDefault="007C163B">
          <w:pPr>
            <w:pStyle w:val="FooterAgency"/>
          </w:pPr>
        </w:p>
      </w:tc>
      <w:tc>
        <w:tcPr>
          <w:tcW w:w="3207" w:type="dxa"/>
          <w:vMerge/>
          <w:vAlign w:val="center"/>
          <w:hideMark/>
        </w:tcPr>
        <w:p w14:paraId="05E089B9" w14:textId="77777777" w:rsidR="007C163B" w:rsidRDefault="007C163B">
          <w:pPr>
            <w:rPr>
              <w:rFonts w:eastAsia="Verdana"/>
              <w:color w:val="6D6F71"/>
              <w:sz w:val="14"/>
              <w:szCs w:val="14"/>
              <w:lang w:eastAsia="en-GB"/>
            </w:rPr>
          </w:pPr>
        </w:p>
      </w:tc>
    </w:tr>
    <w:tr w:rsidR="007C163B" w14:paraId="7BFBE2E4" w14:textId="77777777" w:rsidTr="00C57A78">
      <w:tc>
        <w:tcPr>
          <w:tcW w:w="9413" w:type="dxa"/>
          <w:gridSpan w:val="2"/>
          <w:tcMar>
            <w:top w:w="0" w:type="dxa"/>
            <w:left w:w="0" w:type="dxa"/>
            <w:bottom w:w="0" w:type="dxa"/>
            <w:right w:w="0" w:type="dxa"/>
          </w:tcMar>
          <w:vAlign w:val="bottom"/>
        </w:tcPr>
        <w:p w14:paraId="1099EBE8" w14:textId="77777777" w:rsidR="007C163B" w:rsidRDefault="007C163B">
          <w:pPr>
            <w:pStyle w:val="FooterAgency"/>
          </w:pPr>
        </w:p>
      </w:tc>
    </w:tr>
    <w:tr w:rsidR="007C163B" w14:paraId="696A677B" w14:textId="77777777" w:rsidTr="00C57A78">
      <w:tc>
        <w:tcPr>
          <w:tcW w:w="9413" w:type="dxa"/>
          <w:gridSpan w:val="2"/>
          <w:tcMar>
            <w:top w:w="0" w:type="dxa"/>
            <w:left w:w="0" w:type="dxa"/>
            <w:bottom w:w="0" w:type="dxa"/>
            <w:right w:w="0" w:type="dxa"/>
          </w:tcMar>
          <w:vAlign w:val="bottom"/>
          <w:hideMark/>
        </w:tcPr>
        <w:p w14:paraId="093C4D34" w14:textId="6FE942AB" w:rsidR="007C163B" w:rsidRDefault="007C163B">
          <w:pPr>
            <w:pStyle w:val="FooterAgency"/>
            <w:jc w:val="center"/>
          </w:pPr>
          <w:r>
            <w:t xml:space="preserve">© European Medicines Agency, </w:t>
          </w:r>
          <w:r>
            <w:fldChar w:fldCharType="begin"/>
          </w:r>
          <w:r>
            <w:instrText xml:space="preserve"> DATE  \@ "yyyy"  \* MERGEFORMAT </w:instrText>
          </w:r>
          <w:r>
            <w:fldChar w:fldCharType="separate"/>
          </w:r>
          <w:r w:rsidR="00E13149">
            <w:rPr>
              <w:noProof/>
            </w:rPr>
            <w:t>2018</w:t>
          </w:r>
          <w:r>
            <w:fldChar w:fldCharType="end"/>
          </w:r>
          <w:r>
            <w:t>. Reproduction is authorised provided the source is acknowledged.</w:t>
          </w:r>
        </w:p>
      </w:tc>
    </w:tr>
  </w:tbl>
  <w:p w14:paraId="3210BE3D" w14:textId="77777777" w:rsidR="007C163B" w:rsidRPr="00C57A78" w:rsidRDefault="007C163B" w:rsidP="00C57A78">
    <w:pPr>
      <w:pStyle w:val="Foo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E7A79" w14:textId="77777777" w:rsidR="006B150D" w:rsidRDefault="006B150D">
      <w:r>
        <w:separator/>
      </w:r>
    </w:p>
  </w:footnote>
  <w:footnote w:type="continuationSeparator" w:id="0">
    <w:p w14:paraId="1DD84606" w14:textId="77777777" w:rsidR="006B150D" w:rsidRDefault="006B1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7DCEA" w14:textId="0ACB75F3" w:rsidR="007C163B" w:rsidRDefault="007C163B">
    <w:pPr>
      <w:pStyle w:val="FooterAgency"/>
      <w:jc w:val="center"/>
    </w:pPr>
    <w:r>
      <w:rPr>
        <w:noProof/>
      </w:rPr>
      <w:drawing>
        <wp:inline distT="0" distB="0" distL="0" distR="0" wp14:anchorId="73D43A36" wp14:editId="096BE20B">
          <wp:extent cx="3557905" cy="1800860"/>
          <wp:effectExtent l="0" t="0" r="0" b="0"/>
          <wp:docPr id="3"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7905" cy="1800860"/>
                  </a:xfrm>
                  <a:prstGeom prst="rect">
                    <a:avLst/>
                  </a:prstGeom>
                  <a:noFill/>
                  <a:ln>
                    <a:noFill/>
                  </a:ln>
                </pic:spPr>
              </pic:pic>
            </a:graphicData>
          </a:graphic>
        </wp:inline>
      </w:drawing>
    </w:r>
    <w:r w:rsidRPr="00233628">
      <w:rPr>
        <w:vanis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1" w15:restartNumberingAfterBreak="0">
    <w:nsid w:val="09D72337"/>
    <w:multiLevelType w:val="hybridMultilevel"/>
    <w:tmpl w:val="6A861B0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1DE15B4"/>
    <w:multiLevelType w:val="hybridMultilevel"/>
    <w:tmpl w:val="1D360E6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1AA428A7"/>
    <w:multiLevelType w:val="hybridMultilevel"/>
    <w:tmpl w:val="B0DC8C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B153269"/>
    <w:multiLevelType w:val="hybridMultilevel"/>
    <w:tmpl w:val="3B1C1B5C"/>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1C9A004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9" w15:restartNumberingAfterBreak="0">
    <w:nsid w:val="292D6B7F"/>
    <w:multiLevelType w:val="hybridMultilevel"/>
    <w:tmpl w:val="1760130A"/>
    <w:lvl w:ilvl="0" w:tplc="C8C6E8B6">
      <w:start w:val="3"/>
      <w:numFmt w:val="decimal"/>
      <w:lvlText w:val="%1."/>
      <w:lvlJc w:val="left"/>
      <w:pPr>
        <w:ind w:left="1494" w:hanging="360"/>
      </w:pPr>
      <w:rPr>
        <w:rFonts w:hint="default"/>
      </w:rPr>
    </w:lvl>
    <w:lvl w:ilvl="1" w:tplc="00000019" w:tentative="1">
      <w:start w:val="1"/>
      <w:numFmt w:val="lowerLetter"/>
      <w:lvlText w:val="%2."/>
      <w:lvlJc w:val="left"/>
      <w:pPr>
        <w:ind w:left="2214" w:hanging="360"/>
      </w:pPr>
    </w:lvl>
    <w:lvl w:ilvl="2" w:tplc="0000001B" w:tentative="1">
      <w:start w:val="1"/>
      <w:numFmt w:val="lowerRoman"/>
      <w:lvlText w:val="%3."/>
      <w:lvlJc w:val="right"/>
      <w:pPr>
        <w:ind w:left="2934" w:hanging="180"/>
      </w:pPr>
    </w:lvl>
    <w:lvl w:ilvl="3" w:tplc="0000000F" w:tentative="1">
      <w:start w:val="1"/>
      <w:numFmt w:val="decimal"/>
      <w:lvlText w:val="%4."/>
      <w:lvlJc w:val="left"/>
      <w:pPr>
        <w:ind w:left="3654" w:hanging="360"/>
      </w:pPr>
    </w:lvl>
    <w:lvl w:ilvl="4" w:tplc="00000019" w:tentative="1">
      <w:start w:val="1"/>
      <w:numFmt w:val="lowerLetter"/>
      <w:lvlText w:val="%5."/>
      <w:lvlJc w:val="left"/>
      <w:pPr>
        <w:ind w:left="4374" w:hanging="360"/>
      </w:pPr>
    </w:lvl>
    <w:lvl w:ilvl="5" w:tplc="0000001B" w:tentative="1">
      <w:start w:val="1"/>
      <w:numFmt w:val="lowerRoman"/>
      <w:lvlText w:val="%6."/>
      <w:lvlJc w:val="right"/>
      <w:pPr>
        <w:ind w:left="5094" w:hanging="180"/>
      </w:pPr>
    </w:lvl>
    <w:lvl w:ilvl="6" w:tplc="0000000F" w:tentative="1">
      <w:start w:val="1"/>
      <w:numFmt w:val="decimal"/>
      <w:lvlText w:val="%7."/>
      <w:lvlJc w:val="left"/>
      <w:pPr>
        <w:ind w:left="5814" w:hanging="360"/>
      </w:pPr>
    </w:lvl>
    <w:lvl w:ilvl="7" w:tplc="00000019" w:tentative="1">
      <w:start w:val="1"/>
      <w:numFmt w:val="lowerLetter"/>
      <w:lvlText w:val="%8."/>
      <w:lvlJc w:val="left"/>
      <w:pPr>
        <w:ind w:left="6534" w:hanging="360"/>
      </w:pPr>
    </w:lvl>
    <w:lvl w:ilvl="8" w:tplc="0000001B" w:tentative="1">
      <w:start w:val="1"/>
      <w:numFmt w:val="lowerRoman"/>
      <w:lvlText w:val="%9."/>
      <w:lvlJc w:val="right"/>
      <w:pPr>
        <w:ind w:left="7254" w:hanging="180"/>
      </w:pPr>
    </w:lvl>
  </w:abstractNum>
  <w:abstractNum w:abstractNumId="20" w15:restartNumberingAfterBreak="0">
    <w:nsid w:val="31193F3D"/>
    <w:multiLevelType w:val="hybridMultilevel"/>
    <w:tmpl w:val="9F68EADC"/>
    <w:lvl w:ilvl="0" w:tplc="04060011">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1" w15:restartNumberingAfterBreak="0">
    <w:nsid w:val="35844D02"/>
    <w:multiLevelType w:val="hybridMultilevel"/>
    <w:tmpl w:val="7F08E2EC"/>
    <w:lvl w:ilvl="0" w:tplc="3C782A3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A935036"/>
    <w:multiLevelType w:val="hybridMultilevel"/>
    <w:tmpl w:val="C6961A9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3B8B0879"/>
    <w:multiLevelType w:val="hybridMultilevel"/>
    <w:tmpl w:val="F87C73E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DB101BC"/>
    <w:multiLevelType w:val="hybridMultilevel"/>
    <w:tmpl w:val="7868BA6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3F3471B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441812E8"/>
    <w:multiLevelType w:val="hybridMultilevel"/>
    <w:tmpl w:val="740EDD68"/>
    <w:lvl w:ilvl="0" w:tplc="87CC0E52">
      <w:start w:val="1"/>
      <w:numFmt w:val="decimal"/>
      <w:lvlText w:val="%1)"/>
      <w:lvlJc w:val="left"/>
      <w:pPr>
        <w:ind w:left="1080" w:hanging="360"/>
      </w:pPr>
      <w:rPr>
        <w:color w:val="auto"/>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7" w15:restartNumberingAfterBreak="0">
    <w:nsid w:val="46DF2550"/>
    <w:multiLevelType w:val="hybridMultilevel"/>
    <w:tmpl w:val="7B7E24E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49E106C8"/>
    <w:multiLevelType w:val="hybridMultilevel"/>
    <w:tmpl w:val="94DEA71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51E21733"/>
    <w:multiLevelType w:val="multilevel"/>
    <w:tmpl w:val="A94C57BE"/>
    <w:lvl w:ilvl="0">
      <w:start w:val="1"/>
      <w:numFmt w:val="decimal"/>
      <w:pStyle w:val="Heading1Agency"/>
      <w:suff w:val="space"/>
      <w:lvlText w:val="%1. "/>
      <w:lvlJc w:val="left"/>
      <w:pPr>
        <w:ind w:left="1134"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0" w15:restartNumberingAfterBreak="0">
    <w:nsid w:val="526F3B43"/>
    <w:multiLevelType w:val="hybridMultilevel"/>
    <w:tmpl w:val="8B24673A"/>
    <w:lvl w:ilvl="0" w:tplc="04060017">
      <w:start w:val="1"/>
      <w:numFmt w:val="lowerLetter"/>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1" w15:restartNumberingAfterBreak="0">
    <w:nsid w:val="55B1218A"/>
    <w:multiLevelType w:val="hybridMultilevel"/>
    <w:tmpl w:val="2A401FEC"/>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9DB60C4"/>
    <w:multiLevelType w:val="hybridMultilevel"/>
    <w:tmpl w:val="BCAA6CC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17062E4"/>
    <w:multiLevelType w:val="hybridMultilevel"/>
    <w:tmpl w:val="88F0C3AC"/>
    <w:lvl w:ilvl="0" w:tplc="4DB6922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3DE0FCF"/>
    <w:multiLevelType w:val="hybridMultilevel"/>
    <w:tmpl w:val="52C0196C"/>
    <w:lvl w:ilvl="0" w:tplc="258A773A">
      <w:start w:val="3"/>
      <w:numFmt w:val="decimal"/>
      <w:lvlText w:val="%1."/>
      <w:lvlJc w:val="left"/>
      <w:pPr>
        <w:ind w:left="1494" w:hanging="360"/>
      </w:pPr>
      <w:rPr>
        <w:rFonts w:hint="default"/>
      </w:rPr>
    </w:lvl>
    <w:lvl w:ilvl="1" w:tplc="00000019" w:tentative="1">
      <w:start w:val="1"/>
      <w:numFmt w:val="lowerLetter"/>
      <w:lvlText w:val="%2."/>
      <w:lvlJc w:val="left"/>
      <w:pPr>
        <w:ind w:left="2214" w:hanging="360"/>
      </w:pPr>
    </w:lvl>
    <w:lvl w:ilvl="2" w:tplc="0000001B" w:tentative="1">
      <w:start w:val="1"/>
      <w:numFmt w:val="lowerRoman"/>
      <w:lvlText w:val="%3."/>
      <w:lvlJc w:val="right"/>
      <w:pPr>
        <w:ind w:left="2934" w:hanging="180"/>
      </w:pPr>
    </w:lvl>
    <w:lvl w:ilvl="3" w:tplc="0000000F" w:tentative="1">
      <w:start w:val="1"/>
      <w:numFmt w:val="decimal"/>
      <w:lvlText w:val="%4."/>
      <w:lvlJc w:val="left"/>
      <w:pPr>
        <w:ind w:left="3654" w:hanging="360"/>
      </w:pPr>
    </w:lvl>
    <w:lvl w:ilvl="4" w:tplc="00000019" w:tentative="1">
      <w:start w:val="1"/>
      <w:numFmt w:val="lowerLetter"/>
      <w:lvlText w:val="%5."/>
      <w:lvlJc w:val="left"/>
      <w:pPr>
        <w:ind w:left="4374" w:hanging="360"/>
      </w:pPr>
    </w:lvl>
    <w:lvl w:ilvl="5" w:tplc="0000001B" w:tentative="1">
      <w:start w:val="1"/>
      <w:numFmt w:val="lowerRoman"/>
      <w:lvlText w:val="%6."/>
      <w:lvlJc w:val="right"/>
      <w:pPr>
        <w:ind w:left="5094" w:hanging="180"/>
      </w:pPr>
    </w:lvl>
    <w:lvl w:ilvl="6" w:tplc="0000000F" w:tentative="1">
      <w:start w:val="1"/>
      <w:numFmt w:val="decimal"/>
      <w:lvlText w:val="%7."/>
      <w:lvlJc w:val="left"/>
      <w:pPr>
        <w:ind w:left="5814" w:hanging="360"/>
      </w:pPr>
    </w:lvl>
    <w:lvl w:ilvl="7" w:tplc="00000019" w:tentative="1">
      <w:start w:val="1"/>
      <w:numFmt w:val="lowerLetter"/>
      <w:lvlText w:val="%8."/>
      <w:lvlJc w:val="left"/>
      <w:pPr>
        <w:ind w:left="6534" w:hanging="360"/>
      </w:pPr>
    </w:lvl>
    <w:lvl w:ilvl="8" w:tplc="0000001B" w:tentative="1">
      <w:start w:val="1"/>
      <w:numFmt w:val="lowerRoman"/>
      <w:lvlText w:val="%9."/>
      <w:lvlJc w:val="right"/>
      <w:pPr>
        <w:ind w:left="7254" w:hanging="180"/>
      </w:pPr>
    </w:lvl>
  </w:abstractNum>
  <w:abstractNum w:abstractNumId="35" w15:restartNumberingAfterBreak="0">
    <w:nsid w:val="653F75A4"/>
    <w:multiLevelType w:val="hybridMultilevel"/>
    <w:tmpl w:val="077EE9E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659305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6EEC2C15"/>
    <w:multiLevelType w:val="hybridMultilevel"/>
    <w:tmpl w:val="974A614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724D3BF4"/>
    <w:multiLevelType w:val="hybridMultilevel"/>
    <w:tmpl w:val="CFDE2A6A"/>
    <w:lvl w:ilvl="0" w:tplc="FC2E0150">
      <w:start w:val="3"/>
      <w:numFmt w:val="decimal"/>
      <w:lvlText w:val="%1."/>
      <w:lvlJc w:val="left"/>
      <w:pPr>
        <w:ind w:left="1494" w:hanging="360"/>
      </w:pPr>
      <w:rPr>
        <w:rFonts w:hint="default"/>
      </w:rPr>
    </w:lvl>
    <w:lvl w:ilvl="1" w:tplc="00000019" w:tentative="1">
      <w:start w:val="1"/>
      <w:numFmt w:val="lowerLetter"/>
      <w:lvlText w:val="%2."/>
      <w:lvlJc w:val="left"/>
      <w:pPr>
        <w:ind w:left="2214" w:hanging="360"/>
      </w:pPr>
    </w:lvl>
    <w:lvl w:ilvl="2" w:tplc="0000001B" w:tentative="1">
      <w:start w:val="1"/>
      <w:numFmt w:val="lowerRoman"/>
      <w:lvlText w:val="%3."/>
      <w:lvlJc w:val="right"/>
      <w:pPr>
        <w:ind w:left="2934" w:hanging="180"/>
      </w:pPr>
    </w:lvl>
    <w:lvl w:ilvl="3" w:tplc="0000000F" w:tentative="1">
      <w:start w:val="1"/>
      <w:numFmt w:val="decimal"/>
      <w:lvlText w:val="%4."/>
      <w:lvlJc w:val="left"/>
      <w:pPr>
        <w:ind w:left="3654" w:hanging="360"/>
      </w:pPr>
    </w:lvl>
    <w:lvl w:ilvl="4" w:tplc="00000019" w:tentative="1">
      <w:start w:val="1"/>
      <w:numFmt w:val="lowerLetter"/>
      <w:lvlText w:val="%5."/>
      <w:lvlJc w:val="left"/>
      <w:pPr>
        <w:ind w:left="4374" w:hanging="360"/>
      </w:pPr>
    </w:lvl>
    <w:lvl w:ilvl="5" w:tplc="0000001B" w:tentative="1">
      <w:start w:val="1"/>
      <w:numFmt w:val="lowerRoman"/>
      <w:lvlText w:val="%6."/>
      <w:lvlJc w:val="right"/>
      <w:pPr>
        <w:ind w:left="5094" w:hanging="180"/>
      </w:pPr>
    </w:lvl>
    <w:lvl w:ilvl="6" w:tplc="0000000F" w:tentative="1">
      <w:start w:val="1"/>
      <w:numFmt w:val="decimal"/>
      <w:lvlText w:val="%7."/>
      <w:lvlJc w:val="left"/>
      <w:pPr>
        <w:ind w:left="5814" w:hanging="360"/>
      </w:pPr>
    </w:lvl>
    <w:lvl w:ilvl="7" w:tplc="00000019" w:tentative="1">
      <w:start w:val="1"/>
      <w:numFmt w:val="lowerLetter"/>
      <w:lvlText w:val="%8."/>
      <w:lvlJc w:val="left"/>
      <w:pPr>
        <w:ind w:left="6534" w:hanging="360"/>
      </w:pPr>
    </w:lvl>
    <w:lvl w:ilvl="8" w:tplc="0000001B" w:tentative="1">
      <w:start w:val="1"/>
      <w:numFmt w:val="lowerRoman"/>
      <w:lvlText w:val="%9."/>
      <w:lvlJc w:val="right"/>
      <w:pPr>
        <w:ind w:left="7254" w:hanging="180"/>
      </w:pPr>
    </w:lvl>
  </w:abstractNum>
  <w:abstractNum w:abstractNumId="39" w15:restartNumberingAfterBreak="0">
    <w:nsid w:val="76E217EC"/>
    <w:multiLevelType w:val="hybridMultilevel"/>
    <w:tmpl w:val="6C94FA8E"/>
    <w:lvl w:ilvl="0" w:tplc="C6566E26">
      <w:start w:val="1"/>
      <w:numFmt w:val="decimal"/>
      <w:lvlText w:val="%1)"/>
      <w:lvlJc w:val="left"/>
      <w:pPr>
        <w:ind w:left="720" w:hanging="360"/>
      </w:pPr>
      <w:rPr>
        <w:rFonts w:hint="default"/>
        <w:b w:val="0"/>
        <w:sz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0"/>
  </w:num>
  <w:num w:numId="2">
    <w:abstractNumId w:val="18"/>
  </w:num>
  <w:num w:numId="3">
    <w:abstractNumId w:val="36"/>
  </w:num>
  <w:num w:numId="4">
    <w:abstractNumId w:val="17"/>
  </w:num>
  <w:num w:numId="5">
    <w:abstractNumId w:val="2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29"/>
  </w:num>
  <w:num w:numId="18">
    <w:abstractNumId w:val="12"/>
  </w:num>
  <w:num w:numId="19">
    <w:abstractNumId w:val="22"/>
  </w:num>
  <w:num w:numId="20">
    <w:abstractNumId w:val="26"/>
  </w:num>
  <w:num w:numId="21">
    <w:abstractNumId w:val="16"/>
  </w:num>
  <w:num w:numId="22">
    <w:abstractNumId w:val="14"/>
  </w:num>
  <w:num w:numId="23">
    <w:abstractNumId w:val="31"/>
  </w:num>
  <w:num w:numId="24">
    <w:abstractNumId w:val="35"/>
  </w:num>
  <w:num w:numId="25">
    <w:abstractNumId w:val="30"/>
  </w:num>
  <w:num w:numId="26">
    <w:abstractNumId w:val="20"/>
  </w:num>
  <w:num w:numId="27">
    <w:abstractNumId w:val="11"/>
  </w:num>
  <w:num w:numId="28">
    <w:abstractNumId w:val="37"/>
  </w:num>
  <w:num w:numId="29">
    <w:abstractNumId w:val="33"/>
  </w:num>
  <w:num w:numId="30">
    <w:abstractNumId w:val="21"/>
  </w:num>
  <w:num w:numId="31">
    <w:abstractNumId w:val="28"/>
  </w:num>
  <w:num w:numId="32">
    <w:abstractNumId w:val="23"/>
  </w:num>
  <w:num w:numId="33">
    <w:abstractNumId w:val="32"/>
  </w:num>
  <w:num w:numId="34">
    <w:abstractNumId w:val="27"/>
  </w:num>
  <w:num w:numId="35">
    <w:abstractNumId w:val="39"/>
  </w:num>
  <w:num w:numId="36">
    <w:abstractNumId w:val="15"/>
  </w:num>
  <w:num w:numId="37">
    <w:abstractNumId w:val="24"/>
  </w:num>
  <w:num w:numId="38">
    <w:abstractNumId w:val="29"/>
    <w:lvlOverride w:ilvl="0">
      <w:startOverride w:val="3"/>
    </w:lvlOverride>
  </w:num>
  <w:num w:numId="39">
    <w:abstractNumId w:val="38"/>
  </w:num>
  <w:num w:numId="40">
    <w:abstractNumId w:val="19"/>
  </w:num>
  <w:num w:numId="41">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Verdana&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83391"/>
    <w:rsid w:val="00007936"/>
    <w:rsid w:val="00014568"/>
    <w:rsid w:val="00017178"/>
    <w:rsid w:val="0001775D"/>
    <w:rsid w:val="000318A3"/>
    <w:rsid w:val="00033D4E"/>
    <w:rsid w:val="00034B78"/>
    <w:rsid w:val="000421DF"/>
    <w:rsid w:val="000431D6"/>
    <w:rsid w:val="00043AD7"/>
    <w:rsid w:val="00043EC3"/>
    <w:rsid w:val="0005131F"/>
    <w:rsid w:val="0005244C"/>
    <w:rsid w:val="000544EB"/>
    <w:rsid w:val="00054FB8"/>
    <w:rsid w:val="0005580A"/>
    <w:rsid w:val="000560BD"/>
    <w:rsid w:val="00061460"/>
    <w:rsid w:val="000646FD"/>
    <w:rsid w:val="000650D1"/>
    <w:rsid w:val="00067329"/>
    <w:rsid w:val="00067E1C"/>
    <w:rsid w:val="0007015A"/>
    <w:rsid w:val="000727BD"/>
    <w:rsid w:val="00074807"/>
    <w:rsid w:val="00077DA9"/>
    <w:rsid w:val="00081AAC"/>
    <w:rsid w:val="00090244"/>
    <w:rsid w:val="000904EB"/>
    <w:rsid w:val="0009383F"/>
    <w:rsid w:val="000968B0"/>
    <w:rsid w:val="000B36E7"/>
    <w:rsid w:val="000B4A40"/>
    <w:rsid w:val="000B58BE"/>
    <w:rsid w:val="000B7627"/>
    <w:rsid w:val="000C56FC"/>
    <w:rsid w:val="000D05B8"/>
    <w:rsid w:val="000D4955"/>
    <w:rsid w:val="000D4B56"/>
    <w:rsid w:val="000D7EAC"/>
    <w:rsid w:val="000E2DC5"/>
    <w:rsid w:val="000E2E8D"/>
    <w:rsid w:val="000E44E8"/>
    <w:rsid w:val="000F6231"/>
    <w:rsid w:val="001009A5"/>
    <w:rsid w:val="001013FD"/>
    <w:rsid w:val="00102219"/>
    <w:rsid w:val="00107042"/>
    <w:rsid w:val="00107628"/>
    <w:rsid w:val="00110D1F"/>
    <w:rsid w:val="00111C9F"/>
    <w:rsid w:val="00117E82"/>
    <w:rsid w:val="00120655"/>
    <w:rsid w:val="00121EC2"/>
    <w:rsid w:val="00123DC2"/>
    <w:rsid w:val="00130C47"/>
    <w:rsid w:val="00130DED"/>
    <w:rsid w:val="00131739"/>
    <w:rsid w:val="00133C0F"/>
    <w:rsid w:val="00137AA5"/>
    <w:rsid w:val="00141D80"/>
    <w:rsid w:val="00142287"/>
    <w:rsid w:val="0014322F"/>
    <w:rsid w:val="001436A1"/>
    <w:rsid w:val="00144396"/>
    <w:rsid w:val="00153BF2"/>
    <w:rsid w:val="00156FBF"/>
    <w:rsid w:val="00160638"/>
    <w:rsid w:val="00161212"/>
    <w:rsid w:val="00161ED0"/>
    <w:rsid w:val="001626CD"/>
    <w:rsid w:val="001634C3"/>
    <w:rsid w:val="001911D6"/>
    <w:rsid w:val="00193704"/>
    <w:rsid w:val="0019398A"/>
    <w:rsid w:val="001A0279"/>
    <w:rsid w:val="001A1021"/>
    <w:rsid w:val="001A293A"/>
    <w:rsid w:val="001A6102"/>
    <w:rsid w:val="001A747D"/>
    <w:rsid w:val="001B22B4"/>
    <w:rsid w:val="001B3448"/>
    <w:rsid w:val="001B7828"/>
    <w:rsid w:val="001C127C"/>
    <w:rsid w:val="001D2512"/>
    <w:rsid w:val="001D42CF"/>
    <w:rsid w:val="001D735E"/>
    <w:rsid w:val="001D76D4"/>
    <w:rsid w:val="001E18B5"/>
    <w:rsid w:val="001E1D84"/>
    <w:rsid w:val="001E22DF"/>
    <w:rsid w:val="001F403E"/>
    <w:rsid w:val="002045C1"/>
    <w:rsid w:val="0021065E"/>
    <w:rsid w:val="00212160"/>
    <w:rsid w:val="00215CF5"/>
    <w:rsid w:val="00217B9D"/>
    <w:rsid w:val="002209FC"/>
    <w:rsid w:val="00223BCD"/>
    <w:rsid w:val="00231686"/>
    <w:rsid w:val="00246FDD"/>
    <w:rsid w:val="00253BBB"/>
    <w:rsid w:val="00254166"/>
    <w:rsid w:val="0025472A"/>
    <w:rsid w:val="0026789E"/>
    <w:rsid w:val="0027565A"/>
    <w:rsid w:val="0028383C"/>
    <w:rsid w:val="00283A13"/>
    <w:rsid w:val="002875E2"/>
    <w:rsid w:val="00293722"/>
    <w:rsid w:val="00294356"/>
    <w:rsid w:val="00294CF5"/>
    <w:rsid w:val="002A3A18"/>
    <w:rsid w:val="002A7A9C"/>
    <w:rsid w:val="002B056B"/>
    <w:rsid w:val="002B13F1"/>
    <w:rsid w:val="002B1DED"/>
    <w:rsid w:val="002B2283"/>
    <w:rsid w:val="002B5136"/>
    <w:rsid w:val="002B58FF"/>
    <w:rsid w:val="002B63E1"/>
    <w:rsid w:val="002C10AD"/>
    <w:rsid w:val="002C20FE"/>
    <w:rsid w:val="002C3BDA"/>
    <w:rsid w:val="002C754F"/>
    <w:rsid w:val="002D09A2"/>
    <w:rsid w:val="002E6CEB"/>
    <w:rsid w:val="00304014"/>
    <w:rsid w:val="00311531"/>
    <w:rsid w:val="003150E8"/>
    <w:rsid w:val="00320AAB"/>
    <w:rsid w:val="003212D1"/>
    <w:rsid w:val="003213AA"/>
    <w:rsid w:val="0032369A"/>
    <w:rsid w:val="00323D52"/>
    <w:rsid w:val="00324D0D"/>
    <w:rsid w:val="003267A5"/>
    <w:rsid w:val="003303A2"/>
    <w:rsid w:val="003304FB"/>
    <w:rsid w:val="00341325"/>
    <w:rsid w:val="00341C41"/>
    <w:rsid w:val="0034562F"/>
    <w:rsid w:val="00345690"/>
    <w:rsid w:val="003519AF"/>
    <w:rsid w:val="00354D11"/>
    <w:rsid w:val="00355C57"/>
    <w:rsid w:val="00361DD7"/>
    <w:rsid w:val="00366257"/>
    <w:rsid w:val="0036765C"/>
    <w:rsid w:val="00375BA8"/>
    <w:rsid w:val="00381BAC"/>
    <w:rsid w:val="003852FA"/>
    <w:rsid w:val="003905BC"/>
    <w:rsid w:val="0039319F"/>
    <w:rsid w:val="003948BA"/>
    <w:rsid w:val="00395CAC"/>
    <w:rsid w:val="00396F26"/>
    <w:rsid w:val="003A420B"/>
    <w:rsid w:val="003A723D"/>
    <w:rsid w:val="003B5C16"/>
    <w:rsid w:val="003C0FBA"/>
    <w:rsid w:val="003C144B"/>
    <w:rsid w:val="003C27C5"/>
    <w:rsid w:val="003C49FF"/>
    <w:rsid w:val="003D2450"/>
    <w:rsid w:val="003D3BC7"/>
    <w:rsid w:val="003D73BD"/>
    <w:rsid w:val="003E041E"/>
    <w:rsid w:val="003E6956"/>
    <w:rsid w:val="003E6FD2"/>
    <w:rsid w:val="003F15B3"/>
    <w:rsid w:val="003F628B"/>
    <w:rsid w:val="003F683E"/>
    <w:rsid w:val="00400016"/>
    <w:rsid w:val="00400AA5"/>
    <w:rsid w:val="0040216B"/>
    <w:rsid w:val="0041257C"/>
    <w:rsid w:val="00416A4F"/>
    <w:rsid w:val="00423C11"/>
    <w:rsid w:val="00426432"/>
    <w:rsid w:val="00430939"/>
    <w:rsid w:val="00442B38"/>
    <w:rsid w:val="00443688"/>
    <w:rsid w:val="00443F0A"/>
    <w:rsid w:val="00444C60"/>
    <w:rsid w:val="00465734"/>
    <w:rsid w:val="00465CDF"/>
    <w:rsid w:val="00473F0C"/>
    <w:rsid w:val="00476CC1"/>
    <w:rsid w:val="00483E43"/>
    <w:rsid w:val="004856E3"/>
    <w:rsid w:val="00491B6F"/>
    <w:rsid w:val="0049252A"/>
    <w:rsid w:val="00496BF8"/>
    <w:rsid w:val="00497DB2"/>
    <w:rsid w:val="004A07B7"/>
    <w:rsid w:val="004A0E06"/>
    <w:rsid w:val="004A16A8"/>
    <w:rsid w:val="004A1ECA"/>
    <w:rsid w:val="004B3C77"/>
    <w:rsid w:val="004B4EDF"/>
    <w:rsid w:val="004B74C6"/>
    <w:rsid w:val="004C03C5"/>
    <w:rsid w:val="004C0D95"/>
    <w:rsid w:val="004D47D8"/>
    <w:rsid w:val="004E1C87"/>
    <w:rsid w:val="004E4432"/>
    <w:rsid w:val="004E62AA"/>
    <w:rsid w:val="004E6304"/>
    <w:rsid w:val="004F71C5"/>
    <w:rsid w:val="004F7E50"/>
    <w:rsid w:val="005042D4"/>
    <w:rsid w:val="0050578C"/>
    <w:rsid w:val="00522F3B"/>
    <w:rsid w:val="00527523"/>
    <w:rsid w:val="00527D29"/>
    <w:rsid w:val="005412F5"/>
    <w:rsid w:val="005428AE"/>
    <w:rsid w:val="00552549"/>
    <w:rsid w:val="005556DB"/>
    <w:rsid w:val="00557E31"/>
    <w:rsid w:val="0056330C"/>
    <w:rsid w:val="005634F2"/>
    <w:rsid w:val="00564B7C"/>
    <w:rsid w:val="00574617"/>
    <w:rsid w:val="00574BC4"/>
    <w:rsid w:val="00580E04"/>
    <w:rsid w:val="005903AA"/>
    <w:rsid w:val="00591735"/>
    <w:rsid w:val="005A3EA0"/>
    <w:rsid w:val="005A4012"/>
    <w:rsid w:val="005A7F3B"/>
    <w:rsid w:val="005B2B54"/>
    <w:rsid w:val="005B40CF"/>
    <w:rsid w:val="005B7A91"/>
    <w:rsid w:val="005C49FC"/>
    <w:rsid w:val="005D1CD2"/>
    <w:rsid w:val="005D54C6"/>
    <w:rsid w:val="005D6266"/>
    <w:rsid w:val="005D7E5B"/>
    <w:rsid w:val="005E0DC1"/>
    <w:rsid w:val="005E16A5"/>
    <w:rsid w:val="005E5421"/>
    <w:rsid w:val="005E57BB"/>
    <w:rsid w:val="00603102"/>
    <w:rsid w:val="00611288"/>
    <w:rsid w:val="0061129E"/>
    <w:rsid w:val="00611F15"/>
    <w:rsid w:val="0062351C"/>
    <w:rsid w:val="00624839"/>
    <w:rsid w:val="00634B88"/>
    <w:rsid w:val="006352B0"/>
    <w:rsid w:val="0064223B"/>
    <w:rsid w:val="00643E99"/>
    <w:rsid w:val="0065750F"/>
    <w:rsid w:val="00661E39"/>
    <w:rsid w:val="006735D2"/>
    <w:rsid w:val="00673B8D"/>
    <w:rsid w:val="0068119F"/>
    <w:rsid w:val="006905D9"/>
    <w:rsid w:val="00693730"/>
    <w:rsid w:val="006A3803"/>
    <w:rsid w:val="006B150D"/>
    <w:rsid w:val="006B2E22"/>
    <w:rsid w:val="006D0D0F"/>
    <w:rsid w:val="006D1AEF"/>
    <w:rsid w:val="006E114D"/>
    <w:rsid w:val="006E1610"/>
    <w:rsid w:val="006E43A6"/>
    <w:rsid w:val="006F0202"/>
    <w:rsid w:val="006F59EE"/>
    <w:rsid w:val="00700636"/>
    <w:rsid w:val="00700E33"/>
    <w:rsid w:val="00703625"/>
    <w:rsid w:val="007060CB"/>
    <w:rsid w:val="00712B0B"/>
    <w:rsid w:val="00715E33"/>
    <w:rsid w:val="00716E96"/>
    <w:rsid w:val="007175EA"/>
    <w:rsid w:val="00720C6B"/>
    <w:rsid w:val="00724CE8"/>
    <w:rsid w:val="00725B60"/>
    <w:rsid w:val="00730BD6"/>
    <w:rsid w:val="00737B57"/>
    <w:rsid w:val="00740998"/>
    <w:rsid w:val="0074733C"/>
    <w:rsid w:val="007535BF"/>
    <w:rsid w:val="00753FD1"/>
    <w:rsid w:val="007553C8"/>
    <w:rsid w:val="00755802"/>
    <w:rsid w:val="007610AE"/>
    <w:rsid w:val="0076229B"/>
    <w:rsid w:val="00764DCD"/>
    <w:rsid w:val="00765D67"/>
    <w:rsid w:val="0077371A"/>
    <w:rsid w:val="00773B90"/>
    <w:rsid w:val="00773D89"/>
    <w:rsid w:val="00777A28"/>
    <w:rsid w:val="00781FB1"/>
    <w:rsid w:val="00782192"/>
    <w:rsid w:val="00783391"/>
    <w:rsid w:val="007953EC"/>
    <w:rsid w:val="007969A2"/>
    <w:rsid w:val="007A150E"/>
    <w:rsid w:val="007A415B"/>
    <w:rsid w:val="007A4C52"/>
    <w:rsid w:val="007B0A4A"/>
    <w:rsid w:val="007B0EED"/>
    <w:rsid w:val="007C0E20"/>
    <w:rsid w:val="007C163B"/>
    <w:rsid w:val="007C175F"/>
    <w:rsid w:val="007C5B3F"/>
    <w:rsid w:val="007C7B08"/>
    <w:rsid w:val="007D1138"/>
    <w:rsid w:val="007D1388"/>
    <w:rsid w:val="007D232B"/>
    <w:rsid w:val="007D2954"/>
    <w:rsid w:val="007D4003"/>
    <w:rsid w:val="007D6B42"/>
    <w:rsid w:val="007D71B9"/>
    <w:rsid w:val="007E509B"/>
    <w:rsid w:val="007F1C42"/>
    <w:rsid w:val="007F1C8D"/>
    <w:rsid w:val="007F4F96"/>
    <w:rsid w:val="007F7F5A"/>
    <w:rsid w:val="008017B8"/>
    <w:rsid w:val="008070AD"/>
    <w:rsid w:val="00810E06"/>
    <w:rsid w:val="008118DA"/>
    <w:rsid w:val="008178BA"/>
    <w:rsid w:val="008202B6"/>
    <w:rsid w:val="00821CC9"/>
    <w:rsid w:val="0082215C"/>
    <w:rsid w:val="00825C94"/>
    <w:rsid w:val="00825D05"/>
    <w:rsid w:val="0082757C"/>
    <w:rsid w:val="00830FEB"/>
    <w:rsid w:val="00831FA5"/>
    <w:rsid w:val="008331DA"/>
    <w:rsid w:val="0083399B"/>
    <w:rsid w:val="00834677"/>
    <w:rsid w:val="008360D5"/>
    <w:rsid w:val="00837C42"/>
    <w:rsid w:val="00840221"/>
    <w:rsid w:val="0084134F"/>
    <w:rsid w:val="00843DA3"/>
    <w:rsid w:val="0084626B"/>
    <w:rsid w:val="008512A6"/>
    <w:rsid w:val="00852236"/>
    <w:rsid w:val="00852F61"/>
    <w:rsid w:val="00856C0E"/>
    <w:rsid w:val="008634FD"/>
    <w:rsid w:val="00870143"/>
    <w:rsid w:val="00874B3B"/>
    <w:rsid w:val="0087587E"/>
    <w:rsid w:val="00876FA6"/>
    <w:rsid w:val="00887040"/>
    <w:rsid w:val="00891CA3"/>
    <w:rsid w:val="00894FB4"/>
    <w:rsid w:val="00895661"/>
    <w:rsid w:val="00896AE2"/>
    <w:rsid w:val="008A1A4D"/>
    <w:rsid w:val="008C0B99"/>
    <w:rsid w:val="008C0FA6"/>
    <w:rsid w:val="008C1DDE"/>
    <w:rsid w:val="008C77A7"/>
    <w:rsid w:val="008C7D26"/>
    <w:rsid w:val="008D4FE6"/>
    <w:rsid w:val="008D6491"/>
    <w:rsid w:val="008E3007"/>
    <w:rsid w:val="008E5E5A"/>
    <w:rsid w:val="008F3CDC"/>
    <w:rsid w:val="008F5CE5"/>
    <w:rsid w:val="00901443"/>
    <w:rsid w:val="00902BC5"/>
    <w:rsid w:val="00903535"/>
    <w:rsid w:val="00907821"/>
    <w:rsid w:val="00910332"/>
    <w:rsid w:val="00914383"/>
    <w:rsid w:val="009148AD"/>
    <w:rsid w:val="009269C1"/>
    <w:rsid w:val="00927670"/>
    <w:rsid w:val="009300EA"/>
    <w:rsid w:val="00931A9B"/>
    <w:rsid w:val="00932C79"/>
    <w:rsid w:val="00936958"/>
    <w:rsid w:val="009402EE"/>
    <w:rsid w:val="00945945"/>
    <w:rsid w:val="00946133"/>
    <w:rsid w:val="00950228"/>
    <w:rsid w:val="00963C3E"/>
    <w:rsid w:val="0096460D"/>
    <w:rsid w:val="00970D61"/>
    <w:rsid w:val="00972A01"/>
    <w:rsid w:val="00976D48"/>
    <w:rsid w:val="00983930"/>
    <w:rsid w:val="00984431"/>
    <w:rsid w:val="0099600C"/>
    <w:rsid w:val="0099698F"/>
    <w:rsid w:val="009A252C"/>
    <w:rsid w:val="009B4F55"/>
    <w:rsid w:val="009B5559"/>
    <w:rsid w:val="009B67C5"/>
    <w:rsid w:val="009C00C1"/>
    <w:rsid w:val="009C6E1D"/>
    <w:rsid w:val="009D51FF"/>
    <w:rsid w:val="009D63B4"/>
    <w:rsid w:val="009D7CEC"/>
    <w:rsid w:val="009E1117"/>
    <w:rsid w:val="009E18B1"/>
    <w:rsid w:val="009E267C"/>
    <w:rsid w:val="009E55CC"/>
    <w:rsid w:val="009F069B"/>
    <w:rsid w:val="009F1F96"/>
    <w:rsid w:val="00A00958"/>
    <w:rsid w:val="00A12BE2"/>
    <w:rsid w:val="00A12FC7"/>
    <w:rsid w:val="00A14AE4"/>
    <w:rsid w:val="00A20D21"/>
    <w:rsid w:val="00A24DB0"/>
    <w:rsid w:val="00A2581F"/>
    <w:rsid w:val="00A265C6"/>
    <w:rsid w:val="00A27EB4"/>
    <w:rsid w:val="00A31F88"/>
    <w:rsid w:val="00A54885"/>
    <w:rsid w:val="00A55279"/>
    <w:rsid w:val="00A57122"/>
    <w:rsid w:val="00A65439"/>
    <w:rsid w:val="00A66AF6"/>
    <w:rsid w:val="00A675C3"/>
    <w:rsid w:val="00A70F3A"/>
    <w:rsid w:val="00A81838"/>
    <w:rsid w:val="00A83267"/>
    <w:rsid w:val="00A834DE"/>
    <w:rsid w:val="00A873F1"/>
    <w:rsid w:val="00A90261"/>
    <w:rsid w:val="00A925B6"/>
    <w:rsid w:val="00A93C27"/>
    <w:rsid w:val="00AA2F59"/>
    <w:rsid w:val="00AA31D5"/>
    <w:rsid w:val="00AA62C7"/>
    <w:rsid w:val="00AA6DC2"/>
    <w:rsid w:val="00AA7603"/>
    <w:rsid w:val="00AB60AC"/>
    <w:rsid w:val="00AB7ECB"/>
    <w:rsid w:val="00AC01EA"/>
    <w:rsid w:val="00AC7462"/>
    <w:rsid w:val="00AD154E"/>
    <w:rsid w:val="00AD43D2"/>
    <w:rsid w:val="00AE035A"/>
    <w:rsid w:val="00AF655A"/>
    <w:rsid w:val="00B02FD3"/>
    <w:rsid w:val="00B037CC"/>
    <w:rsid w:val="00B11BD1"/>
    <w:rsid w:val="00B153FB"/>
    <w:rsid w:val="00B162B2"/>
    <w:rsid w:val="00B2075B"/>
    <w:rsid w:val="00B259BF"/>
    <w:rsid w:val="00B467B8"/>
    <w:rsid w:val="00B522BD"/>
    <w:rsid w:val="00B54B7B"/>
    <w:rsid w:val="00B60BAA"/>
    <w:rsid w:val="00B65639"/>
    <w:rsid w:val="00B662C1"/>
    <w:rsid w:val="00B663AF"/>
    <w:rsid w:val="00B7188F"/>
    <w:rsid w:val="00B8025F"/>
    <w:rsid w:val="00B82662"/>
    <w:rsid w:val="00B8696C"/>
    <w:rsid w:val="00B93256"/>
    <w:rsid w:val="00B97381"/>
    <w:rsid w:val="00B97E70"/>
    <w:rsid w:val="00BA2929"/>
    <w:rsid w:val="00BA43F7"/>
    <w:rsid w:val="00BA693D"/>
    <w:rsid w:val="00BA7749"/>
    <w:rsid w:val="00BA7A20"/>
    <w:rsid w:val="00BB6500"/>
    <w:rsid w:val="00BC227C"/>
    <w:rsid w:val="00BC4E7D"/>
    <w:rsid w:val="00BC51D6"/>
    <w:rsid w:val="00BE13DE"/>
    <w:rsid w:val="00BE3F6C"/>
    <w:rsid w:val="00BF17ED"/>
    <w:rsid w:val="00C00850"/>
    <w:rsid w:val="00C00FA1"/>
    <w:rsid w:val="00C02A78"/>
    <w:rsid w:val="00C05CDE"/>
    <w:rsid w:val="00C0764C"/>
    <w:rsid w:val="00C120F3"/>
    <w:rsid w:val="00C12C2F"/>
    <w:rsid w:val="00C16282"/>
    <w:rsid w:val="00C16B84"/>
    <w:rsid w:val="00C20392"/>
    <w:rsid w:val="00C2416C"/>
    <w:rsid w:val="00C24F03"/>
    <w:rsid w:val="00C33AF5"/>
    <w:rsid w:val="00C33B03"/>
    <w:rsid w:val="00C3402A"/>
    <w:rsid w:val="00C37F6A"/>
    <w:rsid w:val="00C414DB"/>
    <w:rsid w:val="00C43044"/>
    <w:rsid w:val="00C57A78"/>
    <w:rsid w:val="00C65583"/>
    <w:rsid w:val="00C65EBB"/>
    <w:rsid w:val="00C72725"/>
    <w:rsid w:val="00C80B29"/>
    <w:rsid w:val="00C91D1B"/>
    <w:rsid w:val="00C93981"/>
    <w:rsid w:val="00CA1A1E"/>
    <w:rsid w:val="00CA24D2"/>
    <w:rsid w:val="00CA37A3"/>
    <w:rsid w:val="00CA4D52"/>
    <w:rsid w:val="00CB4F93"/>
    <w:rsid w:val="00CB5400"/>
    <w:rsid w:val="00CC28EF"/>
    <w:rsid w:val="00CC502E"/>
    <w:rsid w:val="00CC7799"/>
    <w:rsid w:val="00CE0ED8"/>
    <w:rsid w:val="00CE1638"/>
    <w:rsid w:val="00CE3D7D"/>
    <w:rsid w:val="00CE40AB"/>
    <w:rsid w:val="00CF26C9"/>
    <w:rsid w:val="00D01270"/>
    <w:rsid w:val="00D01DBC"/>
    <w:rsid w:val="00D03D67"/>
    <w:rsid w:val="00D042FC"/>
    <w:rsid w:val="00D06B5E"/>
    <w:rsid w:val="00D06BFF"/>
    <w:rsid w:val="00D07EC4"/>
    <w:rsid w:val="00D1295E"/>
    <w:rsid w:val="00D16C23"/>
    <w:rsid w:val="00D17121"/>
    <w:rsid w:val="00D17E4E"/>
    <w:rsid w:val="00D3164A"/>
    <w:rsid w:val="00D333CD"/>
    <w:rsid w:val="00D40A54"/>
    <w:rsid w:val="00D40C47"/>
    <w:rsid w:val="00D40E67"/>
    <w:rsid w:val="00D4484D"/>
    <w:rsid w:val="00D46ABE"/>
    <w:rsid w:val="00D4703D"/>
    <w:rsid w:val="00D500C3"/>
    <w:rsid w:val="00D573A8"/>
    <w:rsid w:val="00D64ACB"/>
    <w:rsid w:val="00D669BD"/>
    <w:rsid w:val="00D670EC"/>
    <w:rsid w:val="00D718F4"/>
    <w:rsid w:val="00D71936"/>
    <w:rsid w:val="00D71D93"/>
    <w:rsid w:val="00D72E35"/>
    <w:rsid w:val="00D73B84"/>
    <w:rsid w:val="00D805AA"/>
    <w:rsid w:val="00D82690"/>
    <w:rsid w:val="00D82FF0"/>
    <w:rsid w:val="00D86512"/>
    <w:rsid w:val="00D90918"/>
    <w:rsid w:val="00DB4049"/>
    <w:rsid w:val="00DC5AA8"/>
    <w:rsid w:val="00DC71AC"/>
    <w:rsid w:val="00DD1F92"/>
    <w:rsid w:val="00DD3106"/>
    <w:rsid w:val="00DD4C06"/>
    <w:rsid w:val="00DD7EA1"/>
    <w:rsid w:val="00DE6E57"/>
    <w:rsid w:val="00DF1860"/>
    <w:rsid w:val="00DF5423"/>
    <w:rsid w:val="00E05D5B"/>
    <w:rsid w:val="00E06026"/>
    <w:rsid w:val="00E116C5"/>
    <w:rsid w:val="00E13149"/>
    <w:rsid w:val="00E36B1F"/>
    <w:rsid w:val="00E4653C"/>
    <w:rsid w:val="00E500FE"/>
    <w:rsid w:val="00E55D58"/>
    <w:rsid w:val="00E55E65"/>
    <w:rsid w:val="00E619E0"/>
    <w:rsid w:val="00E634C2"/>
    <w:rsid w:val="00E65ED5"/>
    <w:rsid w:val="00E70ED4"/>
    <w:rsid w:val="00E728BA"/>
    <w:rsid w:val="00E766B2"/>
    <w:rsid w:val="00E77217"/>
    <w:rsid w:val="00E86C54"/>
    <w:rsid w:val="00EA34F3"/>
    <w:rsid w:val="00EA35A1"/>
    <w:rsid w:val="00EA4460"/>
    <w:rsid w:val="00EA6745"/>
    <w:rsid w:val="00EB3C0A"/>
    <w:rsid w:val="00EC033D"/>
    <w:rsid w:val="00EC2240"/>
    <w:rsid w:val="00EC4486"/>
    <w:rsid w:val="00EC7C9E"/>
    <w:rsid w:val="00EC7F4B"/>
    <w:rsid w:val="00ED0960"/>
    <w:rsid w:val="00EE236C"/>
    <w:rsid w:val="00EE4411"/>
    <w:rsid w:val="00EF2C02"/>
    <w:rsid w:val="00EF5431"/>
    <w:rsid w:val="00F0203A"/>
    <w:rsid w:val="00F02344"/>
    <w:rsid w:val="00F02A20"/>
    <w:rsid w:val="00F02DCE"/>
    <w:rsid w:val="00F05897"/>
    <w:rsid w:val="00F05D15"/>
    <w:rsid w:val="00F1018D"/>
    <w:rsid w:val="00F11100"/>
    <w:rsid w:val="00F13D5C"/>
    <w:rsid w:val="00F17158"/>
    <w:rsid w:val="00F2090C"/>
    <w:rsid w:val="00F22D41"/>
    <w:rsid w:val="00F2570A"/>
    <w:rsid w:val="00F274D4"/>
    <w:rsid w:val="00F3424B"/>
    <w:rsid w:val="00F408BD"/>
    <w:rsid w:val="00F42516"/>
    <w:rsid w:val="00F4730C"/>
    <w:rsid w:val="00F56139"/>
    <w:rsid w:val="00F649A5"/>
    <w:rsid w:val="00F67518"/>
    <w:rsid w:val="00F700E4"/>
    <w:rsid w:val="00F76AFF"/>
    <w:rsid w:val="00F80145"/>
    <w:rsid w:val="00F815B5"/>
    <w:rsid w:val="00F87913"/>
    <w:rsid w:val="00F930DE"/>
    <w:rsid w:val="00F947CA"/>
    <w:rsid w:val="00F96CCF"/>
    <w:rsid w:val="00FA1A5B"/>
    <w:rsid w:val="00FA3750"/>
    <w:rsid w:val="00FB6B91"/>
    <w:rsid w:val="00FC0D22"/>
    <w:rsid w:val="00FC0E16"/>
    <w:rsid w:val="00FC1120"/>
    <w:rsid w:val="00FC3052"/>
    <w:rsid w:val="00FC364F"/>
    <w:rsid w:val="00FC3C53"/>
    <w:rsid w:val="00FD1D8E"/>
    <w:rsid w:val="00FE0B7A"/>
    <w:rsid w:val="00FF22DA"/>
    <w:rsid w:val="00FF66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8C8628"/>
  <w15:chartTrackingRefBased/>
  <w15:docId w15:val="{A9EFF062-449D-418B-92B8-ACF6EB93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cs="Verdana"/>
      <w:sz w:val="18"/>
      <w:szCs w:val="18"/>
      <w:lang w:val="en-GB"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style>
  <w:style w:type="paragraph" w:styleId="Heading3">
    <w:name w:val="heading 3"/>
    <w:basedOn w:val="No-numheading3Agency"/>
    <w:next w:val="BodytextAgency"/>
    <w:qFormat/>
  </w:style>
  <w:style w:type="paragraph" w:styleId="Heading4">
    <w:name w:val="heading 4"/>
    <w:basedOn w:val="No-numheading4Agency"/>
    <w:next w:val="BodytextAgency"/>
    <w:qFormat/>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style>
  <w:style w:type="paragraph" w:styleId="Heading7">
    <w:name w:val="heading 7"/>
    <w:basedOn w:val="No-numheading7Agency"/>
    <w:next w:val="BodytextAgency"/>
    <w:qFormat/>
  </w:style>
  <w:style w:type="paragraph" w:styleId="Heading8">
    <w:name w:val="heading 8"/>
    <w:basedOn w:val="No-numheading8Agency"/>
    <w:next w:val="BodytextAgency"/>
    <w:qFormat/>
  </w:style>
  <w:style w:type="paragraph" w:styleId="Heading9">
    <w:name w:val="heading 9"/>
    <w:basedOn w:val="No-numheading9Agency"/>
    <w:next w:val="BodytextAgency"/>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style>
  <w:style w:type="paragraph" w:customStyle="1" w:styleId="FooterAgency">
    <w:name w:val="Footer (Agency)"/>
    <w:basedOn w:val="Normal"/>
    <w:link w:val="FooterAgencyCharChar"/>
    <w:rPr>
      <w:rFonts w:eastAsia="Verdana"/>
      <w:color w:val="6D6F71"/>
      <w:sz w:val="14"/>
      <w:szCs w:val="14"/>
      <w:lang w:eastAsia="en-GB"/>
    </w:rPr>
  </w:style>
  <w:style w:type="paragraph" w:customStyle="1" w:styleId="FooterblueAgency">
    <w:name w:val="Footer blue (Agency)"/>
    <w:basedOn w:val="Normal"/>
    <w:link w:val="FooterblueAgencyCharChar"/>
    <w:rPr>
      <w:rFonts w:eastAsia="Verdana"/>
      <w:b/>
      <w:color w:val="003399"/>
      <w:sz w:val="13"/>
      <w:szCs w:val="14"/>
      <w:lang w:eastAsia="en-GB"/>
    </w:rPr>
  </w:style>
  <w:style w:type="table" w:customStyle="1" w:styleId="FootertableAgency">
    <w:name w:val="Footer table (Agency)"/>
    <w:basedOn w:val="TableNormal"/>
    <w:semiHidden/>
    <w:rPr>
      <w:rFonts w:ascii="Verdana" w:hAnsi="Verdana"/>
    </w:rPr>
    <w:tblPr/>
    <w:tcPr>
      <w:shd w:val="clear" w:color="auto" w:fill="auto"/>
      <w:tcMar>
        <w:left w:w="0" w:type="dxa"/>
        <w:right w:w="0" w:type="dxa"/>
      </w:tcMar>
    </w:tcPr>
    <w:tblStylePr w:type="firstRow">
      <w:rPr>
        <w:rFonts w:ascii="Constantia" w:hAnsi="Constanti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link w:val="PagenumberAgencyCharChar"/>
    <w:semiHidden/>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rPr>
      <w:rFonts w:ascii="Verdana" w:eastAsia="Verdana" w:hAnsi="Verdana" w:cs="Verdana"/>
      <w:color w:val="6D6F71"/>
      <w:sz w:val="14"/>
      <w:szCs w:val="14"/>
      <w:lang w:val="en-GB" w:eastAsia="en-GB" w:bidi="ar-SA"/>
    </w:rPr>
  </w:style>
  <w:style w:type="character" w:customStyle="1" w:styleId="FooterblueAgencyCharChar">
    <w:name w:val="Footer blue (Agency) Char Char"/>
    <w:link w:val="FooterblueAgency"/>
    <w:rPr>
      <w:rFonts w:ascii="Verdana" w:eastAsia="Verdana" w:hAnsi="Verdana" w:cs="Verdana"/>
      <w:b/>
      <w:color w:val="003399"/>
      <w:sz w:val="13"/>
      <w:szCs w:val="14"/>
      <w:lang w:val="en-GB" w:eastAsia="en-GB" w:bidi="ar-SA"/>
    </w:rPr>
  </w:style>
  <w:style w:type="table" w:customStyle="1" w:styleId="TablegridAgencyblank">
    <w:name w:val="Table grid (Agency) blank"/>
    <w:basedOn w:val="TableNormal"/>
    <w:semiHidden/>
    <w:rPr>
      <w:rFonts w:ascii="Verdana" w:hAnsi="Verdana"/>
      <w:sz w:val="18"/>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styleId="BodyText">
    <w:name w:val="Body Text"/>
    <w:basedOn w:val="Normal"/>
    <w:semiHidden/>
    <w:pPr>
      <w:spacing w:after="140" w:line="280" w:lineRule="atLeast"/>
    </w:pPr>
  </w:style>
  <w:style w:type="paragraph" w:customStyle="1" w:styleId="BodytextAgency">
    <w:name w:val="Body text (Agency)"/>
    <w:basedOn w:val="Normal"/>
    <w:link w:val="BodytextAgencyChar"/>
    <w:pPr>
      <w:spacing w:after="140" w:line="280" w:lineRule="atLeast"/>
    </w:pPr>
    <w:rPr>
      <w:rFonts w:eastAsia="Verdana"/>
      <w:lang w:eastAsia="en-GB"/>
    </w:rPr>
  </w:style>
  <w:style w:type="numbering" w:customStyle="1" w:styleId="BulletsAgency">
    <w:name w:val="Bullets (Agency)"/>
    <w:basedOn w:val="NoList"/>
    <w:pPr>
      <w:numPr>
        <w:numId w:val="1"/>
      </w:numPr>
    </w:pPr>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link w:val="DocsubtitleAgencyChar"/>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semiHidden/>
    <w:pPr>
      <w:jc w:val="center"/>
    </w:pPr>
  </w:style>
  <w:style w:type="paragraph" w:customStyle="1" w:styleId="FigureheadingAgency">
    <w:name w:val="Figure heading (Agency)"/>
    <w:basedOn w:val="Normal"/>
    <w:next w:val="FigureAgency"/>
    <w:semiHidden/>
    <w:pPr>
      <w:keepNext/>
      <w:numPr>
        <w:numId w:val="16"/>
      </w:numPr>
      <w:spacing w:before="240" w:after="120"/>
    </w:p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semiHidden/>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semiHidden/>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1Agency">
    <w:name w:val="Heading 1 (Agency)"/>
    <w:basedOn w:val="Normal"/>
    <w:next w:val="BodytextAgency"/>
    <w:pPr>
      <w:keepNext/>
      <w:numPr>
        <w:numId w:val="17"/>
      </w:numPr>
      <w:spacing w:before="280" w:after="220"/>
      <w:ind w:left="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17"/>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pPr>
      <w:keepNext/>
      <w:numPr>
        <w:ilvl w:val="2"/>
        <w:numId w:val="17"/>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pPr>
      <w:numPr>
        <w:ilvl w:val="3"/>
      </w:numPr>
      <w:outlineLvl w:val="3"/>
    </w:pPr>
    <w:rPr>
      <w:i/>
      <w:sz w:val="18"/>
      <w:szCs w:val="18"/>
    </w:rPr>
  </w:style>
  <w:style w:type="paragraph" w:customStyle="1" w:styleId="Heading5Agency">
    <w:name w:val="Heading 5 (Agency)"/>
    <w:basedOn w:val="Heading4Agency"/>
    <w:next w:val="BodytextAgency"/>
    <w:semiHidden/>
    <w:pPr>
      <w:numPr>
        <w:ilvl w:val="4"/>
      </w:numPr>
      <w:outlineLvl w:val="4"/>
    </w:pPr>
    <w:rPr>
      <w:i w:val="0"/>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No-numheading4Agency">
    <w:name w:val="No-num heading 4 (Agency)"/>
    <w:basedOn w:val="Heading4Agency"/>
    <w:next w:val="BodytextAgency"/>
    <w:semiHidden/>
    <w:pPr>
      <w:numPr>
        <w:ilvl w:val="0"/>
        <w:numId w:val="0"/>
      </w:numPr>
    </w:pPr>
  </w:style>
  <w:style w:type="paragraph" w:customStyle="1" w:styleId="No-numheading5Agency">
    <w:name w:val="No-num heading 5 (Agency)"/>
    <w:basedOn w:val="Heading5Agency"/>
    <w:next w:val="BodytextAgency"/>
    <w:semiHidden/>
    <w:pPr>
      <w:numPr>
        <w:ilvl w:val="0"/>
        <w:numId w:val="0"/>
      </w:numPr>
    </w:pPr>
  </w:style>
  <w:style w:type="paragraph" w:customStyle="1" w:styleId="No-numheading6Agency">
    <w:name w:val="No-num heading 6 (Agency)"/>
    <w:basedOn w:val="No-numheading5Agency"/>
    <w:next w:val="BodytextAgency"/>
    <w:semiHidden/>
    <w:pPr>
      <w:outlineLvl w:val="5"/>
    </w:p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customStyle="1" w:styleId="NormalAgency">
    <w:name w:val="Normal (Agency)"/>
    <w:rPr>
      <w:rFonts w:ascii="Verdana" w:eastAsia="Verdana" w:hAnsi="Verdana" w:cs="Verdana"/>
      <w:sz w:val="18"/>
      <w:szCs w:val="18"/>
      <w:lang w:val="en-GB" w:eastAsia="en-GB"/>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pPr>
      <w:numPr>
        <w:numId w:val="2"/>
      </w:numPr>
    </w:pPr>
  </w:style>
  <w:style w:type="paragraph" w:customStyle="1" w:styleId="RefAgency">
    <w:name w:val="Ref. (Agency)"/>
    <w:basedOn w:val="Normal"/>
    <w:semiHidden/>
    <w:rPr>
      <w:rFonts w:eastAsia="Times New Roman" w:cs="Times New Roman"/>
      <w:sz w:val="17"/>
      <w:lang w:eastAsia="en-GB"/>
    </w:rPr>
  </w:style>
  <w:style w:type="paragraph" w:customStyle="1" w:styleId="TablefirstrowAgency">
    <w:name w:val="Table first row (Agency)"/>
    <w:basedOn w:val="BodytextAgency"/>
    <w:semiHidden/>
    <w:pPr>
      <w:keepNext/>
    </w:pPr>
    <w:rPr>
      <w:rFonts w:eastAsia="Times New Roman"/>
      <w:b/>
    </w:rPr>
  </w:style>
  <w:style w:type="table" w:customStyle="1" w:styleId="TablegridAgency">
    <w:name w:val="Table grid (Agency)"/>
    <w:basedOn w:val="TableNormal"/>
    <w:semiHidden/>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Verdana" w:hAnsi="Verdan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semiHidden/>
    <w:pPr>
      <w:keepNext/>
      <w:numPr>
        <w:numId w:val="18"/>
      </w:numPr>
      <w:spacing w:before="240" w:after="120"/>
    </w:p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1">
    <w:name w:val="toc 1"/>
    <w:basedOn w:val="Normal"/>
    <w:next w:val="BodytextAgency"/>
    <w:semiHidden/>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numbering" w:styleId="111111">
    <w:name w:val="Outline List 2"/>
    <w:basedOn w:val="NoList"/>
    <w:semiHidden/>
    <w:pPr>
      <w:numPr>
        <w:numId w:val="3"/>
      </w:numPr>
    </w:pPr>
  </w:style>
  <w:style w:type="numbering" w:styleId="1ai">
    <w:name w:val="Outline List 1"/>
    <w:basedOn w:val="NoList"/>
    <w:semiHidden/>
    <w:pPr>
      <w:numPr>
        <w:numId w:val="4"/>
      </w:numPr>
    </w:pPr>
  </w:style>
  <w:style w:type="numbering" w:styleId="ArticleSection">
    <w:name w:val="Outline List 3"/>
    <w:basedOn w:val="NoList"/>
    <w:semiHidden/>
    <w:pPr>
      <w:numPr>
        <w:numId w:val="5"/>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6"/>
      </w:numPr>
    </w:pPr>
  </w:style>
  <w:style w:type="paragraph" w:styleId="ListBullet2">
    <w:name w:val="List Bullet 2"/>
    <w:basedOn w:val="Normal"/>
    <w:semiHidden/>
    <w:pPr>
      <w:numPr>
        <w:numId w:val="7"/>
      </w:numPr>
    </w:pPr>
  </w:style>
  <w:style w:type="paragraph" w:styleId="ListBullet3">
    <w:name w:val="List Bullet 3"/>
    <w:basedOn w:val="Normal"/>
    <w:semiHidden/>
    <w:pPr>
      <w:numPr>
        <w:numId w:val="8"/>
      </w:numPr>
    </w:pPr>
  </w:style>
  <w:style w:type="paragraph" w:styleId="ListBullet4">
    <w:name w:val="List Bullet 4"/>
    <w:basedOn w:val="Normal"/>
    <w:semiHidden/>
    <w:pPr>
      <w:numPr>
        <w:numId w:val="9"/>
      </w:numPr>
    </w:pPr>
  </w:style>
  <w:style w:type="paragraph" w:styleId="ListBullet5">
    <w:name w:val="List Bullet 5"/>
    <w:basedOn w:val="Normal"/>
    <w:semiHidden/>
    <w:pPr>
      <w:numPr>
        <w:numId w:val="10"/>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1"/>
      </w:numPr>
    </w:pPr>
  </w:style>
  <w:style w:type="paragraph" w:styleId="ListNumber2">
    <w:name w:val="List Number 2"/>
    <w:basedOn w:val="Normal"/>
    <w:semiHidden/>
    <w:pPr>
      <w:numPr>
        <w:numId w:val="12"/>
      </w:numPr>
    </w:pPr>
  </w:style>
  <w:style w:type="paragraph" w:styleId="ListNumber3">
    <w:name w:val="List Number 3"/>
    <w:basedOn w:val="Normal"/>
    <w:semiHidden/>
    <w:pPr>
      <w:numPr>
        <w:numId w:val="13"/>
      </w:numPr>
    </w:pPr>
  </w:style>
  <w:style w:type="paragraph" w:styleId="ListNumber4">
    <w:name w:val="List Number 4"/>
    <w:basedOn w:val="Normal"/>
    <w:semiHidden/>
    <w:pPr>
      <w:numPr>
        <w:numId w:val="14"/>
      </w:numPr>
    </w:pPr>
  </w:style>
  <w:style w:type="paragraph" w:styleId="ListNumber5">
    <w:name w:val="List Number 5"/>
    <w:basedOn w:val="Normal"/>
    <w:semiHidden/>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DocsubtitleAgencyChar">
    <w:name w:val="Doc subtitle (Agency) Char"/>
    <w:link w:val="DocsubtitleAgency"/>
    <w:rPr>
      <w:rFonts w:ascii="Verdana" w:eastAsia="Verdana" w:hAnsi="Verdana" w:cs="Verdana"/>
      <w:sz w:val="24"/>
      <w:szCs w:val="24"/>
      <w:lang w:val="en-GB" w:eastAsia="en-GB" w:bidi="ar-SA"/>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Pr>
      <w:b w:val="0"/>
      <w:i/>
      <w:iCs/>
      <w:color w:val="7BBBB2"/>
    </w:rPr>
  </w:style>
  <w:style w:type="paragraph" w:customStyle="1" w:styleId="Default">
    <w:name w:val="Default"/>
    <w:rsid w:val="0036765C"/>
    <w:pPr>
      <w:autoSpaceDE w:val="0"/>
      <w:autoSpaceDN w:val="0"/>
      <w:adjustRightInd w:val="0"/>
    </w:pPr>
    <w:rPr>
      <w:rFonts w:ascii="Verdana" w:hAnsi="Verdana" w:cs="Verdana"/>
      <w:color w:val="000000"/>
      <w:sz w:val="24"/>
      <w:szCs w:val="24"/>
    </w:rPr>
  </w:style>
  <w:style w:type="paragraph" w:customStyle="1" w:styleId="EndNoteBibliographyTitle">
    <w:name w:val="EndNote Bibliography Title"/>
    <w:basedOn w:val="Normal"/>
    <w:link w:val="EndNoteBibliographyTitleChar"/>
    <w:rsid w:val="00CE40AB"/>
    <w:pPr>
      <w:jc w:val="center"/>
    </w:pPr>
    <w:rPr>
      <w:noProof/>
      <w:sz w:val="16"/>
    </w:rPr>
  </w:style>
  <w:style w:type="character" w:customStyle="1" w:styleId="EndNoteBibliographyTitleChar">
    <w:name w:val="EndNote Bibliography Title Char"/>
    <w:basedOn w:val="DefaultParagraphFont"/>
    <w:link w:val="EndNoteBibliographyTitle"/>
    <w:rsid w:val="00CE40AB"/>
    <w:rPr>
      <w:rFonts w:ascii="Verdana" w:hAnsi="Verdana" w:cs="Verdana"/>
      <w:noProof/>
      <w:sz w:val="16"/>
      <w:szCs w:val="18"/>
      <w:lang w:val="en-GB" w:eastAsia="zh-CN"/>
    </w:rPr>
  </w:style>
  <w:style w:type="paragraph" w:customStyle="1" w:styleId="EndNoteBibliography">
    <w:name w:val="EndNote Bibliography"/>
    <w:basedOn w:val="Normal"/>
    <w:link w:val="EndNoteBibliographyChar"/>
    <w:rsid w:val="00CE40AB"/>
    <w:rPr>
      <w:noProof/>
      <w:sz w:val="16"/>
    </w:rPr>
  </w:style>
  <w:style w:type="character" w:customStyle="1" w:styleId="EndNoteBibliographyChar">
    <w:name w:val="EndNote Bibliography Char"/>
    <w:basedOn w:val="DefaultParagraphFont"/>
    <w:link w:val="EndNoteBibliography"/>
    <w:rsid w:val="00CE40AB"/>
    <w:rPr>
      <w:rFonts w:ascii="Verdana" w:hAnsi="Verdana" w:cs="Verdana"/>
      <w:noProof/>
      <w:sz w:val="16"/>
      <w:szCs w:val="18"/>
      <w:lang w:val="en-GB" w:eastAsia="zh-CN"/>
    </w:rPr>
  </w:style>
  <w:style w:type="paragraph" w:styleId="ListParagraph">
    <w:name w:val="List Paragraph"/>
    <w:basedOn w:val="Normal"/>
    <w:uiPriority w:val="34"/>
    <w:qFormat/>
    <w:rsid w:val="00CB4F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2647">
      <w:bodyDiv w:val="1"/>
      <w:marLeft w:val="0"/>
      <w:marRight w:val="0"/>
      <w:marTop w:val="0"/>
      <w:marBottom w:val="0"/>
      <w:divBdr>
        <w:top w:val="none" w:sz="0" w:space="0" w:color="auto"/>
        <w:left w:val="none" w:sz="0" w:space="0" w:color="auto"/>
        <w:bottom w:val="none" w:sz="0" w:space="0" w:color="auto"/>
        <w:right w:val="none" w:sz="0" w:space="0" w:color="auto"/>
      </w:divBdr>
    </w:div>
    <w:div w:id="302582055">
      <w:bodyDiv w:val="1"/>
      <w:marLeft w:val="0"/>
      <w:marRight w:val="0"/>
      <w:marTop w:val="0"/>
      <w:marBottom w:val="0"/>
      <w:divBdr>
        <w:top w:val="none" w:sz="0" w:space="0" w:color="auto"/>
        <w:left w:val="none" w:sz="0" w:space="0" w:color="auto"/>
        <w:bottom w:val="none" w:sz="0" w:space="0" w:color="auto"/>
        <w:right w:val="none" w:sz="0" w:space="0" w:color="auto"/>
      </w:divBdr>
    </w:div>
    <w:div w:id="495191552">
      <w:bodyDiv w:val="1"/>
      <w:marLeft w:val="0"/>
      <w:marRight w:val="0"/>
      <w:marTop w:val="0"/>
      <w:marBottom w:val="0"/>
      <w:divBdr>
        <w:top w:val="none" w:sz="0" w:space="0" w:color="auto"/>
        <w:left w:val="none" w:sz="0" w:space="0" w:color="auto"/>
        <w:bottom w:val="none" w:sz="0" w:space="0" w:color="auto"/>
        <w:right w:val="none" w:sz="0" w:space="0" w:color="auto"/>
      </w:divBdr>
    </w:div>
    <w:div w:id="608970091">
      <w:bodyDiv w:val="1"/>
      <w:marLeft w:val="0"/>
      <w:marRight w:val="0"/>
      <w:marTop w:val="0"/>
      <w:marBottom w:val="0"/>
      <w:divBdr>
        <w:top w:val="none" w:sz="0" w:space="0" w:color="auto"/>
        <w:left w:val="none" w:sz="0" w:space="0" w:color="auto"/>
        <w:bottom w:val="none" w:sz="0" w:space="0" w:color="auto"/>
        <w:right w:val="none" w:sz="0" w:space="0" w:color="auto"/>
      </w:divBdr>
    </w:div>
    <w:div w:id="794178504">
      <w:bodyDiv w:val="1"/>
      <w:marLeft w:val="0"/>
      <w:marRight w:val="0"/>
      <w:marTop w:val="0"/>
      <w:marBottom w:val="0"/>
      <w:divBdr>
        <w:top w:val="none" w:sz="0" w:space="0" w:color="auto"/>
        <w:left w:val="none" w:sz="0" w:space="0" w:color="auto"/>
        <w:bottom w:val="none" w:sz="0" w:space="0" w:color="auto"/>
        <w:right w:val="none" w:sz="0" w:space="0" w:color="auto"/>
      </w:divBdr>
    </w:div>
    <w:div w:id="846021086">
      <w:bodyDiv w:val="1"/>
      <w:marLeft w:val="0"/>
      <w:marRight w:val="0"/>
      <w:marTop w:val="0"/>
      <w:marBottom w:val="0"/>
      <w:divBdr>
        <w:top w:val="none" w:sz="0" w:space="0" w:color="auto"/>
        <w:left w:val="none" w:sz="0" w:space="0" w:color="auto"/>
        <w:bottom w:val="none" w:sz="0" w:space="0" w:color="auto"/>
        <w:right w:val="none" w:sz="0" w:space="0" w:color="auto"/>
      </w:divBdr>
    </w:div>
    <w:div w:id="898901373">
      <w:bodyDiv w:val="1"/>
      <w:marLeft w:val="0"/>
      <w:marRight w:val="0"/>
      <w:marTop w:val="0"/>
      <w:marBottom w:val="0"/>
      <w:divBdr>
        <w:top w:val="none" w:sz="0" w:space="0" w:color="auto"/>
        <w:left w:val="none" w:sz="0" w:space="0" w:color="auto"/>
        <w:bottom w:val="none" w:sz="0" w:space="0" w:color="auto"/>
        <w:right w:val="none" w:sz="0" w:space="0" w:color="auto"/>
      </w:divBdr>
    </w:div>
    <w:div w:id="1017386975">
      <w:bodyDiv w:val="1"/>
      <w:marLeft w:val="0"/>
      <w:marRight w:val="0"/>
      <w:marTop w:val="0"/>
      <w:marBottom w:val="0"/>
      <w:divBdr>
        <w:top w:val="none" w:sz="0" w:space="0" w:color="auto"/>
        <w:left w:val="none" w:sz="0" w:space="0" w:color="auto"/>
        <w:bottom w:val="none" w:sz="0" w:space="0" w:color="auto"/>
        <w:right w:val="none" w:sz="0" w:space="0" w:color="auto"/>
      </w:divBdr>
    </w:div>
    <w:div w:id="1017468995">
      <w:bodyDiv w:val="1"/>
      <w:marLeft w:val="0"/>
      <w:marRight w:val="0"/>
      <w:marTop w:val="0"/>
      <w:marBottom w:val="0"/>
      <w:divBdr>
        <w:top w:val="none" w:sz="0" w:space="0" w:color="auto"/>
        <w:left w:val="none" w:sz="0" w:space="0" w:color="auto"/>
        <w:bottom w:val="none" w:sz="0" w:space="0" w:color="auto"/>
        <w:right w:val="none" w:sz="0" w:space="0" w:color="auto"/>
      </w:divBdr>
    </w:div>
    <w:div w:id="1037856165">
      <w:bodyDiv w:val="1"/>
      <w:marLeft w:val="0"/>
      <w:marRight w:val="0"/>
      <w:marTop w:val="0"/>
      <w:marBottom w:val="0"/>
      <w:divBdr>
        <w:top w:val="none" w:sz="0" w:space="0" w:color="auto"/>
        <w:left w:val="none" w:sz="0" w:space="0" w:color="auto"/>
        <w:bottom w:val="none" w:sz="0" w:space="0" w:color="auto"/>
        <w:right w:val="none" w:sz="0" w:space="0" w:color="auto"/>
      </w:divBdr>
    </w:div>
    <w:div w:id="1193498100">
      <w:bodyDiv w:val="1"/>
      <w:marLeft w:val="0"/>
      <w:marRight w:val="0"/>
      <w:marTop w:val="0"/>
      <w:marBottom w:val="0"/>
      <w:divBdr>
        <w:top w:val="none" w:sz="0" w:space="0" w:color="auto"/>
        <w:left w:val="none" w:sz="0" w:space="0" w:color="auto"/>
        <w:bottom w:val="none" w:sz="0" w:space="0" w:color="auto"/>
        <w:right w:val="none" w:sz="0" w:space="0" w:color="auto"/>
      </w:divBdr>
    </w:div>
    <w:div w:id="1200051173">
      <w:bodyDiv w:val="1"/>
      <w:marLeft w:val="0"/>
      <w:marRight w:val="0"/>
      <w:marTop w:val="0"/>
      <w:marBottom w:val="0"/>
      <w:divBdr>
        <w:top w:val="none" w:sz="0" w:space="0" w:color="auto"/>
        <w:left w:val="none" w:sz="0" w:space="0" w:color="auto"/>
        <w:bottom w:val="none" w:sz="0" w:space="0" w:color="auto"/>
        <w:right w:val="none" w:sz="0" w:space="0" w:color="auto"/>
      </w:divBdr>
    </w:div>
    <w:div w:id="1230967319">
      <w:bodyDiv w:val="1"/>
      <w:marLeft w:val="0"/>
      <w:marRight w:val="0"/>
      <w:marTop w:val="0"/>
      <w:marBottom w:val="0"/>
      <w:divBdr>
        <w:top w:val="none" w:sz="0" w:space="0" w:color="auto"/>
        <w:left w:val="none" w:sz="0" w:space="0" w:color="auto"/>
        <w:bottom w:val="none" w:sz="0" w:space="0" w:color="auto"/>
        <w:right w:val="none" w:sz="0" w:space="0" w:color="auto"/>
      </w:divBdr>
    </w:div>
    <w:div w:id="1344479235">
      <w:bodyDiv w:val="1"/>
      <w:marLeft w:val="0"/>
      <w:marRight w:val="0"/>
      <w:marTop w:val="0"/>
      <w:marBottom w:val="0"/>
      <w:divBdr>
        <w:top w:val="none" w:sz="0" w:space="0" w:color="auto"/>
        <w:left w:val="none" w:sz="0" w:space="0" w:color="auto"/>
        <w:bottom w:val="none" w:sz="0" w:space="0" w:color="auto"/>
        <w:right w:val="none" w:sz="0" w:space="0" w:color="auto"/>
      </w:divBdr>
    </w:div>
    <w:div w:id="1386875760">
      <w:bodyDiv w:val="1"/>
      <w:marLeft w:val="0"/>
      <w:marRight w:val="0"/>
      <w:marTop w:val="0"/>
      <w:marBottom w:val="0"/>
      <w:divBdr>
        <w:top w:val="none" w:sz="0" w:space="0" w:color="auto"/>
        <w:left w:val="none" w:sz="0" w:space="0" w:color="auto"/>
        <w:bottom w:val="none" w:sz="0" w:space="0" w:color="auto"/>
        <w:right w:val="none" w:sz="0" w:space="0" w:color="auto"/>
      </w:divBdr>
      <w:divsChild>
        <w:div w:id="1585140590">
          <w:marLeft w:val="0"/>
          <w:marRight w:val="0"/>
          <w:marTop w:val="0"/>
          <w:marBottom w:val="0"/>
          <w:divBdr>
            <w:top w:val="none" w:sz="0" w:space="0" w:color="auto"/>
            <w:left w:val="none" w:sz="0" w:space="0" w:color="auto"/>
            <w:bottom w:val="none" w:sz="0" w:space="0" w:color="auto"/>
            <w:right w:val="none" w:sz="0" w:space="0" w:color="auto"/>
          </w:divBdr>
        </w:div>
      </w:divsChild>
    </w:div>
    <w:div w:id="1416975116">
      <w:bodyDiv w:val="1"/>
      <w:marLeft w:val="0"/>
      <w:marRight w:val="0"/>
      <w:marTop w:val="0"/>
      <w:marBottom w:val="0"/>
      <w:divBdr>
        <w:top w:val="none" w:sz="0" w:space="0" w:color="auto"/>
        <w:left w:val="none" w:sz="0" w:space="0" w:color="auto"/>
        <w:bottom w:val="none" w:sz="0" w:space="0" w:color="auto"/>
        <w:right w:val="none" w:sz="0" w:space="0" w:color="auto"/>
      </w:divBdr>
    </w:div>
    <w:div w:id="1589923251">
      <w:bodyDiv w:val="1"/>
      <w:marLeft w:val="0"/>
      <w:marRight w:val="0"/>
      <w:marTop w:val="0"/>
      <w:marBottom w:val="0"/>
      <w:divBdr>
        <w:top w:val="none" w:sz="0" w:space="0" w:color="auto"/>
        <w:left w:val="none" w:sz="0" w:space="0" w:color="auto"/>
        <w:bottom w:val="none" w:sz="0" w:space="0" w:color="auto"/>
        <w:right w:val="none" w:sz="0" w:space="0" w:color="auto"/>
      </w:divBdr>
    </w:div>
    <w:div w:id="1657755998">
      <w:bodyDiv w:val="1"/>
      <w:marLeft w:val="0"/>
      <w:marRight w:val="0"/>
      <w:marTop w:val="0"/>
      <w:marBottom w:val="0"/>
      <w:divBdr>
        <w:top w:val="none" w:sz="0" w:space="0" w:color="auto"/>
        <w:left w:val="none" w:sz="0" w:space="0" w:color="auto"/>
        <w:bottom w:val="none" w:sz="0" w:space="0" w:color="auto"/>
        <w:right w:val="none" w:sz="0" w:space="0" w:color="auto"/>
      </w:divBdr>
    </w:div>
    <w:div w:id="1674648886">
      <w:bodyDiv w:val="1"/>
      <w:marLeft w:val="0"/>
      <w:marRight w:val="0"/>
      <w:marTop w:val="0"/>
      <w:marBottom w:val="0"/>
      <w:divBdr>
        <w:top w:val="none" w:sz="0" w:space="0" w:color="auto"/>
        <w:left w:val="none" w:sz="0" w:space="0" w:color="auto"/>
        <w:bottom w:val="none" w:sz="0" w:space="0" w:color="auto"/>
        <w:right w:val="none" w:sz="0" w:space="0" w:color="auto"/>
      </w:divBdr>
    </w:div>
    <w:div w:id="1766533441">
      <w:bodyDiv w:val="1"/>
      <w:marLeft w:val="0"/>
      <w:marRight w:val="0"/>
      <w:marTop w:val="0"/>
      <w:marBottom w:val="0"/>
      <w:divBdr>
        <w:top w:val="none" w:sz="0" w:space="0" w:color="auto"/>
        <w:left w:val="none" w:sz="0" w:space="0" w:color="auto"/>
        <w:bottom w:val="none" w:sz="0" w:space="0" w:color="auto"/>
        <w:right w:val="none" w:sz="0" w:space="0" w:color="auto"/>
      </w:divBdr>
    </w:div>
    <w:div w:id="1807628382">
      <w:bodyDiv w:val="1"/>
      <w:marLeft w:val="0"/>
      <w:marRight w:val="0"/>
      <w:marTop w:val="0"/>
      <w:marBottom w:val="0"/>
      <w:divBdr>
        <w:top w:val="none" w:sz="0" w:space="0" w:color="auto"/>
        <w:left w:val="none" w:sz="0" w:space="0" w:color="auto"/>
        <w:bottom w:val="none" w:sz="0" w:space="0" w:color="auto"/>
        <w:right w:val="none" w:sz="0" w:space="0" w:color="auto"/>
      </w:divBdr>
    </w:div>
    <w:div w:id="1906407788">
      <w:bodyDiv w:val="1"/>
      <w:marLeft w:val="0"/>
      <w:marRight w:val="0"/>
      <w:marTop w:val="0"/>
      <w:marBottom w:val="0"/>
      <w:divBdr>
        <w:top w:val="none" w:sz="0" w:space="0" w:color="auto"/>
        <w:left w:val="none" w:sz="0" w:space="0" w:color="auto"/>
        <w:bottom w:val="none" w:sz="0" w:space="0" w:color="auto"/>
        <w:right w:val="none" w:sz="0" w:space="0" w:color="auto"/>
      </w:divBdr>
    </w:div>
    <w:div w:id="1906991386">
      <w:bodyDiv w:val="1"/>
      <w:marLeft w:val="0"/>
      <w:marRight w:val="0"/>
      <w:marTop w:val="0"/>
      <w:marBottom w:val="0"/>
      <w:divBdr>
        <w:top w:val="none" w:sz="0" w:space="0" w:color="auto"/>
        <w:left w:val="none" w:sz="0" w:space="0" w:color="auto"/>
        <w:bottom w:val="none" w:sz="0" w:space="0" w:color="auto"/>
        <w:right w:val="none" w:sz="0" w:space="0" w:color="auto"/>
      </w:divBdr>
    </w:div>
    <w:div w:id="1910267115">
      <w:bodyDiv w:val="1"/>
      <w:marLeft w:val="0"/>
      <w:marRight w:val="0"/>
      <w:marTop w:val="0"/>
      <w:marBottom w:val="0"/>
      <w:divBdr>
        <w:top w:val="none" w:sz="0" w:space="0" w:color="auto"/>
        <w:left w:val="none" w:sz="0" w:space="0" w:color="auto"/>
        <w:bottom w:val="none" w:sz="0" w:space="0" w:color="auto"/>
        <w:right w:val="none" w:sz="0" w:space="0" w:color="auto"/>
      </w:divBdr>
    </w:div>
    <w:div w:id="207816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A5436-7A9A-1644-9E4D-AACFF1AC3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4109</Words>
  <Characters>23425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Submission of comments form</vt:lpstr>
    </vt:vector>
  </TitlesOfParts>
  <Company>European Medicines Agency</Company>
  <LinksUpToDate>false</LinksUpToDate>
  <CharactersWithSpaces>27480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of comments form</dc:title>
  <dc:subject>Comments-EMA/293958/2005</dc:subject>
  <dc:creator>Maria Antonova</dc:creator>
  <cp:keywords/>
  <dc:description>Template developed for European Medicines Agency by Fiona Lewis and Vanessa Crookes December 2009</dc:description>
  <cp:lastModifiedBy>Microsoft Office User</cp:lastModifiedBy>
  <cp:revision>2</cp:revision>
  <cp:lastPrinted>2018-12-11T09:23:00Z</cp:lastPrinted>
  <dcterms:created xsi:type="dcterms:W3CDTF">2018-12-13T10:08:00Z</dcterms:created>
  <dcterms:modified xsi:type="dcterms:W3CDTF">2018-12-13T10:08:00Z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Owner">
    <vt:lpwstr>Schumacher Dunja</vt:lpwstr>
  </property>
  <property fmtid="{D5CDD505-2E9C-101B-9397-08002B2CF9AE}" pid="24" name="DM_Language">
    <vt:lpwstr/>
  </property>
  <property fmtid="{D5CDD505-2E9C-101B-9397-08002B2CF9AE}" pid="25" name="DM_Title">
    <vt:lpwstr/>
  </property>
  <property fmtid="{D5CDD505-2E9C-101B-9397-08002B2CF9AE}" pid="26" name="DM_Keywords">
    <vt:lpwstr/>
  </property>
  <property fmtid="{D5CDD505-2E9C-101B-9397-08002B2CF9AE}" pid="27" name="DM_Authors">
    <vt:lpwstr/>
  </property>
  <property fmtid="{D5CDD505-2E9C-101B-9397-08002B2CF9AE}" pid="28" name="DM_Status">
    <vt:lpwstr/>
  </property>
  <property fmtid="{D5CDD505-2E9C-101B-9397-08002B2CF9AE}" pid="29" name="DM_Version">
    <vt:lpwstr>Ready for publication,CURRENT,3.0</vt:lpwstr>
  </property>
  <property fmtid="{D5CDD505-2E9C-101B-9397-08002B2CF9AE}" pid="30" name="DM_Subject">
    <vt:lpwstr>Comments-EMA/293958/2005</vt:lpwstr>
  </property>
  <property fmtid="{D5CDD505-2E9C-101B-9397-08002B2CF9AE}" pid="31" name="DM_Name">
    <vt:lpwstr>Submission of comments form</vt:lpwstr>
  </property>
  <property fmtid="{D5CDD505-2E9C-101B-9397-08002B2CF9AE}" pid="32" name="DM_Creation_Date">
    <vt:lpwstr>02/02/2010 18:25:13</vt:lpwstr>
  </property>
  <property fmtid="{D5CDD505-2E9C-101B-9397-08002B2CF9AE}" pid="33" name="DM_Modify_Date">
    <vt:lpwstr>02/02/2010 18:25:13</vt:lpwstr>
  </property>
  <property fmtid="{D5CDD505-2E9C-101B-9397-08002B2CF9AE}" pid="34" name="DM_Creator_Name">
    <vt:lpwstr>Hearfield Neil</vt:lpwstr>
  </property>
  <property fmtid="{D5CDD505-2E9C-101B-9397-08002B2CF9AE}" pid="35" name="DM_Modifier_Name">
    <vt:lpwstr>Hearfield Neil</vt:lpwstr>
  </property>
  <property fmtid="{D5CDD505-2E9C-101B-9397-08002B2CF9AE}" pid="36" name="DM_Type">
    <vt:lpwstr>emea_document</vt:lpwstr>
  </property>
  <property fmtid="{D5CDD505-2E9C-101B-9397-08002B2CF9AE}" pid="37" name="DM_DocRefId">
    <vt:lpwstr>EMA/293958/2005</vt:lpwstr>
  </property>
  <property fmtid="{D5CDD505-2E9C-101B-9397-08002B2CF9AE}" pid="38" name="DM_Category">
    <vt:lpwstr>Comments</vt:lpwstr>
  </property>
  <property fmtid="{D5CDD505-2E9C-101B-9397-08002B2CF9AE}" pid="39" name="DM_emea_doc_ref_id">
    <vt:lpwstr>EMA/293958/2005</vt:lpwstr>
  </property>
  <property fmtid="{D5CDD505-2E9C-101B-9397-08002B2CF9AE}" pid="40" name="DM_Modifer_Name">
    <vt:lpwstr>Hearfield Neil</vt:lpwstr>
  </property>
  <property fmtid="{D5CDD505-2E9C-101B-9397-08002B2CF9AE}" pid="41" name="DM_Modified_Date">
    <vt:lpwstr>02/02/2010 18:25:13</vt:lpwstr>
  </property>
</Properties>
</file>