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C0A30" w14:textId="4D82FD67" w:rsidR="005D6621" w:rsidRDefault="00E36D9D">
      <w:pPr>
        <w:pStyle w:val="RefAgency"/>
        <w:tabs>
          <w:tab w:val="left" w:pos="1277"/>
        </w:tabs>
      </w:pPr>
      <w:bookmarkStart w:id="0" w:name="_GoBack"/>
      <w:bookmarkEnd w:id="0"/>
      <w:r>
        <w:t>7 March 2016</w:t>
      </w:r>
    </w:p>
    <w:p w14:paraId="119FCED9" w14:textId="77777777" w:rsidR="005D6621" w:rsidRDefault="005D6621">
      <w:pPr>
        <w:pStyle w:val="RefAgency"/>
        <w:tabs>
          <w:tab w:val="left" w:pos="1277"/>
        </w:tabs>
      </w:pPr>
    </w:p>
    <w:p w14:paraId="3ACF1487" w14:textId="77777777" w:rsidR="005D6621" w:rsidRDefault="005D6621">
      <w:pPr>
        <w:pStyle w:val="RefAgency"/>
        <w:tabs>
          <w:tab w:val="left" w:pos="1277"/>
        </w:tabs>
      </w:pPr>
    </w:p>
    <w:p w14:paraId="355353A3" w14:textId="77777777" w:rsidR="005D6621" w:rsidRDefault="005D6621">
      <w:pPr>
        <w:pStyle w:val="DoctitleAgency"/>
      </w:pPr>
      <w:bookmarkStart w:id="1" w:name="Head"/>
      <w:bookmarkEnd w:id="1"/>
      <w:r>
        <w:t>Submission of comments on '</w:t>
      </w:r>
      <w:r w:rsidR="00DE5A34">
        <w:t xml:space="preserve">Draft guideline on the </w:t>
      </w:r>
      <w:r w:rsidR="005410AE">
        <w:t>use of pharmacokinetics and pharmacodynamics in the development of antibacterial medicinal products</w:t>
      </w:r>
      <w:r w:rsidR="00CD21C0">
        <w:t>’</w:t>
      </w:r>
      <w:r w:rsidR="00B56F10">
        <w:t xml:space="preserve"> </w:t>
      </w:r>
      <w:r w:rsidR="001F3855">
        <w:rPr>
          <w:szCs w:val="17"/>
        </w:rPr>
        <w:t xml:space="preserve">– </w:t>
      </w:r>
      <w:r w:rsidR="0078658C">
        <w:rPr>
          <w:szCs w:val="17"/>
        </w:rPr>
        <w:t>EMA/CHMP/</w:t>
      </w:r>
      <w:r w:rsidR="005410AE">
        <w:rPr>
          <w:szCs w:val="17"/>
        </w:rPr>
        <w:t>594085/2015</w:t>
      </w:r>
    </w:p>
    <w:p w14:paraId="58BC70D3" w14:textId="77777777" w:rsidR="005D6621" w:rsidRDefault="005D6621">
      <w:pPr>
        <w:pStyle w:val="DocsubtitleAgency"/>
      </w:pPr>
    </w:p>
    <w:p w14:paraId="50413BF9"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1F67E961" w14:textId="77777777">
        <w:trPr>
          <w:tblHeader/>
        </w:trPr>
        <w:tc>
          <w:tcPr>
            <w:tcW w:w="5000" w:type="pct"/>
            <w:tcBorders>
              <w:top w:val="nil"/>
              <w:left w:val="nil"/>
              <w:bottom w:val="nil"/>
              <w:right w:val="nil"/>
            </w:tcBorders>
            <w:shd w:val="clear" w:color="auto" w:fill="003399"/>
          </w:tcPr>
          <w:p w14:paraId="71A699D1" w14:textId="77777777" w:rsidR="005D6621" w:rsidRDefault="005D6621">
            <w:pPr>
              <w:pStyle w:val="TableheadingrowsAgency"/>
              <w:rPr>
                <w:b w:val="0"/>
              </w:rPr>
            </w:pPr>
            <w:r>
              <w:rPr>
                <w:b w:val="0"/>
              </w:rPr>
              <w:t>Name of organisation or individual</w:t>
            </w:r>
          </w:p>
        </w:tc>
      </w:tr>
      <w:tr w:rsidR="005D6621" w14:paraId="36EEAB60" w14:textId="77777777">
        <w:tc>
          <w:tcPr>
            <w:tcW w:w="5000" w:type="pct"/>
            <w:shd w:val="clear" w:color="auto" w:fill="E1E3F2"/>
          </w:tcPr>
          <w:p w14:paraId="7070EADA" w14:textId="77777777" w:rsidR="005D6621" w:rsidRPr="0078658C" w:rsidRDefault="004A383E" w:rsidP="005410AE">
            <w:pPr>
              <w:pStyle w:val="TabletextrowsAgency"/>
              <w:rPr>
                <w:rFonts w:ascii="Times New Roman" w:hAnsi="Times New Roman"/>
                <w:sz w:val="22"/>
                <w:szCs w:val="22"/>
                <w:lang w:val="fr-FR"/>
              </w:rPr>
            </w:pPr>
            <w:r w:rsidRPr="00212AB1">
              <w:t xml:space="preserve">EFPIA </w:t>
            </w:r>
            <w:r w:rsidR="00212AB1" w:rsidRPr="00212AB1">
              <w:t>–</w:t>
            </w:r>
            <w:r w:rsidRPr="00212AB1">
              <w:t xml:space="preserve"> </w:t>
            </w:r>
            <w:r w:rsidR="005410AE">
              <w:t>Pär Tellner</w:t>
            </w:r>
            <w:r w:rsidR="00297A4B" w:rsidRPr="00212AB1">
              <w:t xml:space="preserve"> (</w:t>
            </w:r>
            <w:r w:rsidR="005410AE">
              <w:rPr>
                <w:rFonts w:ascii="Times New Roman" w:hAnsi="Times New Roman"/>
                <w:sz w:val="22"/>
                <w:szCs w:val="22"/>
                <w:lang w:val="fr-FR"/>
              </w:rPr>
              <w:t>par.tellner@efpia.eu</w:t>
            </w:r>
            <w:r w:rsidR="0078658C">
              <w:t>)</w:t>
            </w:r>
          </w:p>
        </w:tc>
      </w:tr>
    </w:tbl>
    <w:p w14:paraId="7D315737" w14:textId="77777777" w:rsidR="005D6621" w:rsidRDefault="005D6621">
      <w:pPr>
        <w:pStyle w:val="BodytextAgency"/>
      </w:pPr>
    </w:p>
    <w:p w14:paraId="68EBD4E9" w14:textId="77777777" w:rsidR="005D6621" w:rsidRDefault="005D6621">
      <w:pPr>
        <w:pStyle w:val="BodytextAgency"/>
        <w:rPr>
          <w:i/>
        </w:rPr>
      </w:pPr>
      <w:r>
        <w:rPr>
          <w:i/>
        </w:rPr>
        <w:t>Please note that these comments and the identity of the sender will be published unless a specific justified objection is received.</w:t>
      </w:r>
    </w:p>
    <w:p w14:paraId="3A53D945" w14:textId="77777777" w:rsidR="005D6621" w:rsidRDefault="005D6621">
      <w:pPr>
        <w:pStyle w:val="BodytextAgency"/>
        <w:rPr>
          <w:i/>
        </w:rPr>
      </w:pPr>
      <w:r>
        <w:rPr>
          <w:i/>
        </w:rPr>
        <w:t>When completed, this form should be sent to the European Medicines Agency electronically, in Word format (not PDF).</w:t>
      </w:r>
    </w:p>
    <w:p w14:paraId="3DC2F1C0" w14:textId="77777777" w:rsidR="005D6621" w:rsidRDefault="005D6621">
      <w:pPr>
        <w:pStyle w:val="BodytextAgency"/>
      </w:pPr>
    </w:p>
    <w:p w14:paraId="7AC129BD" w14:textId="77777777" w:rsidR="005D6621" w:rsidRDefault="005D6621">
      <w:pPr>
        <w:pStyle w:val="BodytextAgency"/>
      </w:pPr>
    </w:p>
    <w:p w14:paraId="5F6B3371" w14:textId="77777777" w:rsidR="005D6621" w:rsidRDefault="005D6621">
      <w:pPr>
        <w:pStyle w:val="BodytextAgency"/>
        <w:sectPr w:rsidR="005D6621">
          <w:footerReference w:type="default" r:id="rId11"/>
          <w:headerReference w:type="first" r:id="rId12"/>
          <w:footerReference w:type="first" r:id="rId13"/>
          <w:pgSz w:w="11907" w:h="16839" w:code="9"/>
          <w:pgMar w:top="1418" w:right="1247" w:bottom="1418" w:left="1247" w:header="284" w:footer="680" w:gutter="0"/>
          <w:cols w:space="720"/>
          <w:titlePg/>
          <w:docGrid w:linePitch="326"/>
        </w:sectPr>
      </w:pPr>
    </w:p>
    <w:p w14:paraId="2EA15297"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D6621" w14:paraId="4E286B46" w14:textId="77777777">
        <w:trPr>
          <w:tblHeader/>
        </w:trPr>
        <w:tc>
          <w:tcPr>
            <w:tcW w:w="848" w:type="pct"/>
            <w:tcBorders>
              <w:top w:val="nil"/>
              <w:left w:val="nil"/>
              <w:bottom w:val="nil"/>
              <w:right w:val="nil"/>
            </w:tcBorders>
            <w:shd w:val="clear" w:color="auto" w:fill="003399"/>
          </w:tcPr>
          <w:p w14:paraId="7DEA2AD7" w14:textId="77777777" w:rsidR="005D6621" w:rsidRDefault="005D6621">
            <w:pPr>
              <w:pStyle w:val="TableheadingrowsAgency"/>
              <w:rPr>
                <w:b w:val="0"/>
                <w:bCs/>
              </w:rPr>
            </w:pPr>
            <w:r>
              <w:rPr>
                <w:b w:val="0"/>
                <w:bCs/>
              </w:rPr>
              <w:t>Stakeholder number</w:t>
            </w:r>
          </w:p>
          <w:p w14:paraId="1B7A7EF5"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4565326E" w14:textId="77777777" w:rsidR="005D6621" w:rsidRDefault="005D6621">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564C6CFE" w14:textId="77777777" w:rsidR="00F42EA9" w:rsidRDefault="00F42EA9" w:rsidP="00F42EA9">
            <w:pPr>
              <w:pStyle w:val="TableheadingrowsAgency"/>
              <w:rPr>
                <w:b w:val="0"/>
                <w:bCs/>
              </w:rPr>
            </w:pPr>
            <w:r>
              <w:rPr>
                <w:b w:val="0"/>
                <w:bCs/>
              </w:rPr>
              <w:t>Outcome (if applicable)</w:t>
            </w:r>
          </w:p>
          <w:p w14:paraId="4CFE2D9B" w14:textId="77777777" w:rsidR="005D6621" w:rsidRPr="00271214" w:rsidRDefault="00F42EA9" w:rsidP="00F42EA9">
            <w:pPr>
              <w:pStyle w:val="TableheadingrowsAgency"/>
              <w:rPr>
                <w:b w:val="0"/>
                <w:bCs/>
                <w:i/>
                <w:color w:val="339966"/>
                <w:sz w:val="22"/>
                <w:szCs w:val="22"/>
              </w:rPr>
            </w:pPr>
            <w:r>
              <w:rPr>
                <w:i/>
                <w:color w:val="339966"/>
              </w:rPr>
              <w:t>(To be completed by the Agency)</w:t>
            </w:r>
          </w:p>
        </w:tc>
      </w:tr>
      <w:tr w:rsidR="005D6621" w14:paraId="554AAC92" w14:textId="77777777">
        <w:tc>
          <w:tcPr>
            <w:tcW w:w="848" w:type="pct"/>
            <w:shd w:val="clear" w:color="auto" w:fill="E1E3F2"/>
          </w:tcPr>
          <w:p w14:paraId="7FA83FB5" w14:textId="77777777" w:rsidR="005D6621" w:rsidRDefault="005D6621">
            <w:pPr>
              <w:pStyle w:val="TabletextrowsAgency"/>
            </w:pPr>
          </w:p>
        </w:tc>
        <w:tc>
          <w:tcPr>
            <w:tcW w:w="1839" w:type="pct"/>
            <w:shd w:val="clear" w:color="auto" w:fill="E1E3F2"/>
          </w:tcPr>
          <w:p w14:paraId="74A0F671" w14:textId="77777777" w:rsidR="005D6621" w:rsidRDefault="00724A4F">
            <w:pPr>
              <w:pStyle w:val="TabletextrowsAgency"/>
            </w:pPr>
            <w:r>
              <w:t>None</w:t>
            </w:r>
          </w:p>
        </w:tc>
        <w:tc>
          <w:tcPr>
            <w:tcW w:w="2313" w:type="pct"/>
            <w:shd w:val="clear" w:color="auto" w:fill="E1E3F2"/>
          </w:tcPr>
          <w:p w14:paraId="5E1B3846" w14:textId="77777777" w:rsidR="005D6621" w:rsidRDefault="005D6621">
            <w:pPr>
              <w:pStyle w:val="TabletextrowsAgency"/>
            </w:pPr>
          </w:p>
        </w:tc>
      </w:tr>
    </w:tbl>
    <w:p w14:paraId="2CCB4065" w14:textId="77777777" w:rsidR="005D6621" w:rsidRDefault="005D6621">
      <w:pPr>
        <w:pStyle w:val="BodytextAgency"/>
      </w:pPr>
    </w:p>
    <w:p w14:paraId="0C7236FD" w14:textId="77777777" w:rsidR="005D6621" w:rsidRDefault="005D6621">
      <w:pPr>
        <w:pStyle w:val="Heading1Agency"/>
        <w:pageBreakBefore/>
      </w:pPr>
      <w:r>
        <w:lastRenderedPageBreak/>
        <w:t>Specific comments on text</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firstRow="1" w:lastRow="1" w:firstColumn="1" w:lastColumn="1" w:noHBand="0" w:noVBand="0"/>
      </w:tblPr>
      <w:tblGrid>
        <w:gridCol w:w="1508"/>
        <w:gridCol w:w="6776"/>
        <w:gridCol w:w="6502"/>
      </w:tblGrid>
      <w:tr w:rsidR="00724A4F" w14:paraId="79752040" w14:textId="77777777" w:rsidTr="00724A4F">
        <w:trPr>
          <w:cantSplit/>
          <w:tblHeader/>
        </w:trPr>
        <w:tc>
          <w:tcPr>
            <w:tcW w:w="0" w:type="auto"/>
            <w:tcBorders>
              <w:top w:val="nil"/>
              <w:left w:val="nil"/>
              <w:bottom w:val="nil"/>
              <w:right w:val="nil"/>
            </w:tcBorders>
            <w:shd w:val="clear" w:color="auto" w:fill="003399"/>
          </w:tcPr>
          <w:p w14:paraId="14B448A7" w14:textId="77777777" w:rsidR="00724A4F" w:rsidRDefault="00724A4F">
            <w:pPr>
              <w:pStyle w:val="TableheadingrowsAgency"/>
              <w:rPr>
                <w:b w:val="0"/>
              </w:rPr>
            </w:pPr>
            <w:r>
              <w:rPr>
                <w:b w:val="0"/>
              </w:rPr>
              <w:t>Line number(s) of the relevant text</w:t>
            </w:r>
          </w:p>
          <w:p w14:paraId="6353DFBF" w14:textId="77777777" w:rsidR="00724A4F" w:rsidRDefault="00724A4F">
            <w:pPr>
              <w:pStyle w:val="TableheadingrowsAgency"/>
              <w:rPr>
                <w:b w:val="0"/>
                <w:i/>
                <w:color w:val="339966"/>
              </w:rPr>
            </w:pPr>
            <w:r>
              <w:rPr>
                <w:i/>
                <w:color w:val="339966"/>
              </w:rPr>
              <w:t>(e.g. Lines 20-23)</w:t>
            </w:r>
          </w:p>
        </w:tc>
        <w:tc>
          <w:tcPr>
            <w:tcW w:w="0" w:type="auto"/>
            <w:tcBorders>
              <w:top w:val="nil"/>
              <w:left w:val="nil"/>
              <w:bottom w:val="nil"/>
              <w:right w:val="nil"/>
            </w:tcBorders>
            <w:shd w:val="clear" w:color="auto" w:fill="003399"/>
          </w:tcPr>
          <w:p w14:paraId="23BB7B41" w14:textId="77777777" w:rsidR="00724A4F" w:rsidRDefault="00724A4F">
            <w:pPr>
              <w:pStyle w:val="TableheadingrowsAgency"/>
              <w:rPr>
                <w:b w:val="0"/>
              </w:rPr>
            </w:pPr>
            <w:r>
              <w:rPr>
                <w:b w:val="0"/>
              </w:rPr>
              <w:t>Comment and rationale; proposed changes</w:t>
            </w:r>
          </w:p>
          <w:p w14:paraId="6A74306C" w14:textId="77777777" w:rsidR="00724A4F" w:rsidRDefault="00724A4F">
            <w:pPr>
              <w:pStyle w:val="TableheadingrowsAgency"/>
              <w:rPr>
                <w:b w:val="0"/>
                <w:i/>
                <w:color w:val="339966"/>
              </w:rPr>
            </w:pPr>
            <w:r>
              <w:rPr>
                <w:i/>
                <w:color w:val="339966"/>
              </w:rPr>
              <w:t>(If changes to the wording are suggested, they should be highlighted using 'track changes')</w:t>
            </w:r>
          </w:p>
        </w:tc>
        <w:tc>
          <w:tcPr>
            <w:tcW w:w="0" w:type="auto"/>
            <w:tcBorders>
              <w:top w:val="nil"/>
              <w:left w:val="nil"/>
              <w:bottom w:val="nil"/>
              <w:right w:val="nil"/>
            </w:tcBorders>
            <w:shd w:val="clear" w:color="auto" w:fill="003399"/>
          </w:tcPr>
          <w:p w14:paraId="067287D7" w14:textId="77777777" w:rsidR="00724A4F" w:rsidRPr="006E3E30" w:rsidRDefault="00724A4F">
            <w:pPr>
              <w:pStyle w:val="TableheadingrowsAgency"/>
              <w:rPr>
                <w:b w:val="0"/>
              </w:rPr>
            </w:pPr>
            <w:r w:rsidRPr="006E3E30">
              <w:rPr>
                <w:b w:val="0"/>
              </w:rPr>
              <w:t>Recommendation</w:t>
            </w:r>
          </w:p>
          <w:p w14:paraId="72D1E618" w14:textId="77777777" w:rsidR="00724A4F" w:rsidRDefault="00724A4F">
            <w:pPr>
              <w:pStyle w:val="TableheadingrowsAgency"/>
              <w:rPr>
                <w:b w:val="0"/>
              </w:rPr>
            </w:pPr>
            <w:r>
              <w:rPr>
                <w:i/>
                <w:color w:val="339966"/>
              </w:rPr>
              <w:t>(To be completed by the Agency)</w:t>
            </w:r>
          </w:p>
        </w:tc>
      </w:tr>
      <w:tr w:rsidR="00724A4F" w14:paraId="061633D5" w14:textId="77777777" w:rsidTr="00724A4F">
        <w:trPr>
          <w:cantSplit/>
        </w:trPr>
        <w:tc>
          <w:tcPr>
            <w:tcW w:w="0" w:type="auto"/>
            <w:shd w:val="clear" w:color="auto" w:fill="E1E3F2"/>
          </w:tcPr>
          <w:p w14:paraId="1D632912" w14:textId="77777777" w:rsidR="00724A4F" w:rsidRDefault="00724A4F" w:rsidP="00930CC9">
            <w:pPr>
              <w:pStyle w:val="TabletextrowsAgency"/>
            </w:pPr>
            <w:r>
              <w:t>6-8 and 17-18</w:t>
            </w:r>
          </w:p>
        </w:tc>
        <w:tc>
          <w:tcPr>
            <w:tcW w:w="0" w:type="auto"/>
            <w:shd w:val="clear" w:color="auto" w:fill="E1E3F2"/>
          </w:tcPr>
          <w:p w14:paraId="002B47B9" w14:textId="77777777" w:rsidR="00724A4F" w:rsidRPr="002A1B2B" w:rsidRDefault="00724A4F" w:rsidP="00930CC9">
            <w:pPr>
              <w:rPr>
                <w:lang w:val="en-US"/>
              </w:rPr>
            </w:pPr>
            <w:r w:rsidRPr="002A1B2B">
              <w:rPr>
                <w:lang w:val="en-US"/>
              </w:rPr>
              <w:t xml:space="preserve">The title refers only to antibacterial agents, but lines 130-131 indicate that the document could apply to </w:t>
            </w:r>
            <w:proofErr w:type="spellStart"/>
            <w:r w:rsidRPr="002A1B2B">
              <w:rPr>
                <w:lang w:val="en-US"/>
              </w:rPr>
              <w:t>antimycobacterial</w:t>
            </w:r>
            <w:proofErr w:type="spellEnd"/>
            <w:r w:rsidRPr="002A1B2B">
              <w:rPr>
                <w:lang w:val="en-US"/>
              </w:rPr>
              <w:t xml:space="preserve"> and antifungal agents as well.</w:t>
            </w:r>
          </w:p>
        </w:tc>
        <w:tc>
          <w:tcPr>
            <w:tcW w:w="0" w:type="auto"/>
            <w:shd w:val="clear" w:color="auto" w:fill="E1E3F2"/>
          </w:tcPr>
          <w:p w14:paraId="176B2FD1" w14:textId="77777777" w:rsidR="00724A4F" w:rsidRPr="002A1B2B" w:rsidRDefault="00724A4F" w:rsidP="00930CC9">
            <w:pPr>
              <w:rPr>
                <w:bCs/>
                <w:lang w:val="en-US"/>
              </w:rPr>
            </w:pPr>
            <w:r w:rsidRPr="002A1B2B">
              <w:rPr>
                <w:bCs/>
                <w:lang w:val="en-US"/>
              </w:rPr>
              <w:t>Amend title to refer either to all 3 classes of agents by name or to “antimicrobial agents” as an overall entity.</w:t>
            </w:r>
          </w:p>
        </w:tc>
      </w:tr>
      <w:tr w:rsidR="00724A4F" w:rsidRPr="00724A4F" w14:paraId="36ED5FB0" w14:textId="77777777" w:rsidTr="00724A4F">
        <w:trPr>
          <w:cantSplit/>
        </w:trPr>
        <w:tc>
          <w:tcPr>
            <w:tcW w:w="0" w:type="auto"/>
            <w:shd w:val="clear" w:color="auto" w:fill="E1E3F2"/>
          </w:tcPr>
          <w:p w14:paraId="1CCF1820" w14:textId="77777777" w:rsidR="00724A4F" w:rsidRPr="00724A4F" w:rsidRDefault="00724A4F" w:rsidP="00841347">
            <w:pPr>
              <w:rPr>
                <w:color w:val="000000"/>
              </w:rPr>
            </w:pPr>
            <w:r w:rsidRPr="00724A4F">
              <w:rPr>
                <w:color w:val="000000"/>
              </w:rPr>
              <w:t>130</w:t>
            </w:r>
          </w:p>
        </w:tc>
        <w:tc>
          <w:tcPr>
            <w:tcW w:w="0" w:type="auto"/>
            <w:shd w:val="clear" w:color="auto" w:fill="E1E3F2"/>
          </w:tcPr>
          <w:p w14:paraId="4FDD53EE" w14:textId="77777777" w:rsidR="00724A4F" w:rsidRPr="00724A4F" w:rsidRDefault="00724A4F" w:rsidP="00841347">
            <w:pPr>
              <w:rPr>
                <w:color w:val="000000"/>
                <w:lang w:val="en-US"/>
              </w:rPr>
            </w:pPr>
            <w:r w:rsidRPr="00724A4F">
              <w:rPr>
                <w:color w:val="000000"/>
                <w:lang w:val="en-US"/>
              </w:rPr>
              <w:t>Most of the recommendations made in the guideline do not apply to non-absorbed and locally or topically acting agents.</w:t>
            </w:r>
          </w:p>
        </w:tc>
        <w:tc>
          <w:tcPr>
            <w:tcW w:w="0" w:type="auto"/>
            <w:shd w:val="clear" w:color="auto" w:fill="E1E3F2"/>
          </w:tcPr>
          <w:p w14:paraId="78E9A860" w14:textId="77777777" w:rsidR="00724A4F" w:rsidRPr="00724A4F" w:rsidRDefault="00724A4F" w:rsidP="00841347">
            <w:pPr>
              <w:rPr>
                <w:bCs/>
                <w:color w:val="000000"/>
                <w:lang w:val="en-US"/>
              </w:rPr>
            </w:pPr>
            <w:r w:rsidRPr="00724A4F">
              <w:rPr>
                <w:bCs/>
                <w:color w:val="000000"/>
                <w:lang w:val="en-US"/>
              </w:rPr>
              <w:t>Add “… systemically administered” to first sentence</w:t>
            </w:r>
          </w:p>
        </w:tc>
      </w:tr>
      <w:tr w:rsidR="00724A4F" w14:paraId="5E8A3624" w14:textId="77777777" w:rsidTr="00724A4F">
        <w:trPr>
          <w:cantSplit/>
        </w:trPr>
        <w:tc>
          <w:tcPr>
            <w:tcW w:w="0" w:type="auto"/>
            <w:shd w:val="clear" w:color="auto" w:fill="E1E3F2"/>
          </w:tcPr>
          <w:p w14:paraId="4B7CC3AB" w14:textId="77777777" w:rsidR="00724A4F" w:rsidRPr="00CB6C05" w:rsidRDefault="00724A4F" w:rsidP="00841347">
            <w:r w:rsidRPr="00CB6C05">
              <w:t>187-188</w:t>
            </w:r>
          </w:p>
        </w:tc>
        <w:tc>
          <w:tcPr>
            <w:tcW w:w="0" w:type="auto"/>
            <w:shd w:val="clear" w:color="auto" w:fill="E1E3F2"/>
          </w:tcPr>
          <w:p w14:paraId="0C6B6412" w14:textId="77777777" w:rsidR="00724A4F" w:rsidRPr="00CB6C05" w:rsidRDefault="00724A4F" w:rsidP="00841347">
            <w:r w:rsidRPr="00CB6C05">
              <w:t>It is suggested that this sentence may be better placed under “Scope” (Section 2)</w:t>
            </w:r>
          </w:p>
        </w:tc>
        <w:tc>
          <w:tcPr>
            <w:tcW w:w="0" w:type="auto"/>
            <w:shd w:val="clear" w:color="auto" w:fill="E1E3F2"/>
          </w:tcPr>
          <w:p w14:paraId="0EEABE10" w14:textId="77777777" w:rsidR="00724A4F" w:rsidRPr="00437194" w:rsidRDefault="00724A4F" w:rsidP="00841347">
            <w:pPr>
              <w:rPr>
                <w:bCs/>
                <w:color w:val="00B050"/>
                <w:lang w:val="en-US"/>
              </w:rPr>
            </w:pPr>
          </w:p>
        </w:tc>
      </w:tr>
      <w:tr w:rsidR="00724A4F" w14:paraId="4594F766" w14:textId="77777777" w:rsidTr="00724A4F">
        <w:trPr>
          <w:cantSplit/>
        </w:trPr>
        <w:tc>
          <w:tcPr>
            <w:tcW w:w="0" w:type="auto"/>
            <w:shd w:val="clear" w:color="auto" w:fill="E1E3F2"/>
          </w:tcPr>
          <w:p w14:paraId="774BE41B" w14:textId="77777777" w:rsidR="00724A4F" w:rsidRPr="002A1B2B" w:rsidRDefault="00724A4F" w:rsidP="00930CC9">
            <w:pPr>
              <w:rPr>
                <w:lang w:val="en-US"/>
              </w:rPr>
            </w:pPr>
            <w:r w:rsidRPr="002A1B2B">
              <w:rPr>
                <w:lang w:val="en-US"/>
              </w:rPr>
              <w:t>253</w:t>
            </w:r>
          </w:p>
        </w:tc>
        <w:tc>
          <w:tcPr>
            <w:tcW w:w="0" w:type="auto"/>
            <w:shd w:val="clear" w:color="auto" w:fill="E1E3F2"/>
          </w:tcPr>
          <w:p w14:paraId="357AE8A1" w14:textId="77777777" w:rsidR="00724A4F" w:rsidRPr="002A1B2B" w:rsidRDefault="00724A4F" w:rsidP="00930CC9">
            <w:pPr>
              <w:rPr>
                <w:lang w:val="en-US"/>
              </w:rPr>
            </w:pPr>
            <w:r w:rsidRPr="002A1B2B">
              <w:rPr>
                <w:lang w:val="en-US"/>
              </w:rPr>
              <w:t>The sentence that begins with “In general, the use of in vitro models…” assumes that in vitro and in vivo models provide the same answer. This can be especially challenging for novel antibacterial classes where there is no historical basis for the PD profile or the PK/PD driver of efficacy, when more robust growth can be achieved in vitro than in vivo, or in instances where in vitro resistance is greater than in vivo observations.</w:t>
            </w:r>
          </w:p>
        </w:tc>
        <w:tc>
          <w:tcPr>
            <w:tcW w:w="0" w:type="auto"/>
            <w:shd w:val="clear" w:color="auto" w:fill="E1E3F2"/>
          </w:tcPr>
          <w:p w14:paraId="473B360A" w14:textId="77777777" w:rsidR="00724A4F" w:rsidRPr="002A1B2B" w:rsidRDefault="00724A4F" w:rsidP="00930CC9">
            <w:pPr>
              <w:rPr>
                <w:bCs/>
                <w:lang w:val="en-US"/>
              </w:rPr>
            </w:pPr>
            <w:r w:rsidRPr="002A1B2B">
              <w:rPr>
                <w:bCs/>
                <w:lang w:val="en-US"/>
              </w:rPr>
              <w:t xml:space="preserve">Suggest replacing “recommended initially” with “may be used initially or in conjunction with” </w:t>
            </w:r>
            <w:proofErr w:type="gramStart"/>
            <w:r w:rsidRPr="002A1B2B">
              <w:rPr>
                <w:bCs/>
                <w:lang w:val="en-US"/>
              </w:rPr>
              <w:t>to remove</w:t>
            </w:r>
            <w:proofErr w:type="gramEnd"/>
            <w:r w:rsidRPr="002A1B2B">
              <w:rPr>
                <w:bCs/>
                <w:lang w:val="en-US"/>
              </w:rPr>
              <w:t xml:space="preserve"> the suggestion of a hierarchical approach to PK/PD program design.</w:t>
            </w:r>
          </w:p>
        </w:tc>
      </w:tr>
      <w:tr w:rsidR="00724A4F" w14:paraId="52D9A91E" w14:textId="77777777" w:rsidTr="00724A4F">
        <w:trPr>
          <w:cantSplit/>
        </w:trPr>
        <w:tc>
          <w:tcPr>
            <w:tcW w:w="0" w:type="auto"/>
            <w:shd w:val="clear" w:color="auto" w:fill="E1E3F2"/>
          </w:tcPr>
          <w:p w14:paraId="7EE3CEC1" w14:textId="77777777" w:rsidR="00724A4F" w:rsidRPr="002A1B2B" w:rsidRDefault="00724A4F" w:rsidP="00930CC9">
            <w:pPr>
              <w:rPr>
                <w:lang w:val="en-US"/>
              </w:rPr>
            </w:pPr>
            <w:r w:rsidRPr="002A1B2B">
              <w:rPr>
                <w:lang w:val="en-US"/>
              </w:rPr>
              <w:t>273</w:t>
            </w:r>
          </w:p>
        </w:tc>
        <w:tc>
          <w:tcPr>
            <w:tcW w:w="0" w:type="auto"/>
            <w:shd w:val="clear" w:color="auto" w:fill="E1E3F2"/>
          </w:tcPr>
          <w:p w14:paraId="047FC5FE" w14:textId="77777777" w:rsidR="00724A4F" w:rsidRPr="002A1B2B" w:rsidRDefault="00724A4F" w:rsidP="00930CC9">
            <w:pPr>
              <w:rPr>
                <w:lang w:val="en-US"/>
              </w:rPr>
            </w:pPr>
            <w:r w:rsidRPr="002A1B2B">
              <w:rPr>
                <w:lang w:val="en-US"/>
              </w:rPr>
              <w:t>We agree that in vitro models do have some advantages over in vivo models, however these do not necessarily apply to all drugs.</w:t>
            </w:r>
          </w:p>
          <w:p w14:paraId="34DB48C3" w14:textId="77777777" w:rsidR="00724A4F" w:rsidRPr="002A1B2B" w:rsidRDefault="00724A4F" w:rsidP="00930CC9">
            <w:pPr>
              <w:rPr>
                <w:lang w:val="en-US"/>
              </w:rPr>
            </w:pPr>
          </w:p>
        </w:tc>
        <w:tc>
          <w:tcPr>
            <w:tcW w:w="0" w:type="auto"/>
            <w:shd w:val="clear" w:color="auto" w:fill="E1E3F2"/>
          </w:tcPr>
          <w:p w14:paraId="5B83301D" w14:textId="77777777" w:rsidR="00724A4F" w:rsidRPr="002A1B2B" w:rsidRDefault="00724A4F" w:rsidP="00930CC9">
            <w:pPr>
              <w:rPr>
                <w:lang w:val="en-US"/>
              </w:rPr>
            </w:pPr>
            <w:r w:rsidRPr="002A1B2B">
              <w:rPr>
                <w:bCs/>
                <w:lang w:val="en-US"/>
              </w:rPr>
              <w:t>Suggest adding “may” in front of “…have several advantages…” to allow for alternate pathways for agents where good in vitro – in vivo correlations are not observed.</w:t>
            </w:r>
          </w:p>
        </w:tc>
      </w:tr>
      <w:tr w:rsidR="00724A4F" w14:paraId="18BBC5C2" w14:textId="77777777" w:rsidTr="00724A4F">
        <w:trPr>
          <w:cantSplit/>
        </w:trPr>
        <w:tc>
          <w:tcPr>
            <w:tcW w:w="0" w:type="auto"/>
            <w:shd w:val="clear" w:color="auto" w:fill="E1E3F2"/>
          </w:tcPr>
          <w:p w14:paraId="0339C2E9" w14:textId="77777777" w:rsidR="00724A4F" w:rsidRPr="002A1B2B" w:rsidRDefault="00724A4F" w:rsidP="00930CC9">
            <w:pPr>
              <w:rPr>
                <w:lang w:val="en-US"/>
              </w:rPr>
            </w:pPr>
            <w:r w:rsidRPr="002A1B2B">
              <w:rPr>
                <w:lang w:val="en-US"/>
              </w:rPr>
              <w:t>283</w:t>
            </w:r>
          </w:p>
        </w:tc>
        <w:tc>
          <w:tcPr>
            <w:tcW w:w="0" w:type="auto"/>
            <w:shd w:val="clear" w:color="auto" w:fill="E1E3F2"/>
          </w:tcPr>
          <w:p w14:paraId="59F72468" w14:textId="77777777" w:rsidR="00724A4F" w:rsidRPr="002A1B2B" w:rsidRDefault="00724A4F" w:rsidP="00930CC9">
            <w:pPr>
              <w:rPr>
                <w:lang w:val="en-US"/>
              </w:rPr>
            </w:pPr>
            <w:r w:rsidRPr="002A1B2B">
              <w:rPr>
                <w:lang w:val="en-US"/>
              </w:rPr>
              <w:t>We believe that the statement “Study the relationships between rates of emergent resistance, drug exposure and duration of therapy” doesn’t account for situations where emergence of resistance in vitro does not correlate with in vivo or clinical resistance</w:t>
            </w:r>
          </w:p>
        </w:tc>
        <w:tc>
          <w:tcPr>
            <w:tcW w:w="0" w:type="auto"/>
            <w:shd w:val="clear" w:color="auto" w:fill="E1E3F2"/>
          </w:tcPr>
          <w:p w14:paraId="793C99B9" w14:textId="77777777" w:rsidR="00724A4F" w:rsidRPr="002A1B2B" w:rsidRDefault="00724A4F" w:rsidP="00930CC9">
            <w:pPr>
              <w:rPr>
                <w:bCs/>
                <w:lang w:val="en-US"/>
              </w:rPr>
            </w:pPr>
            <w:r w:rsidRPr="002A1B2B">
              <w:rPr>
                <w:bCs/>
                <w:lang w:val="en-US"/>
              </w:rPr>
              <w:t>Suggest adding “It may be useful to evaluate these relationships in multiple models of infection to aid in selecting a dose that suppresses or limits the potential for resistance development” as second sentence after the highlighted text.</w:t>
            </w:r>
          </w:p>
          <w:p w14:paraId="24E24D4A" w14:textId="77777777" w:rsidR="00724A4F" w:rsidRPr="002A1B2B" w:rsidRDefault="00724A4F" w:rsidP="00930CC9">
            <w:pPr>
              <w:rPr>
                <w:bCs/>
                <w:lang w:val="en-US"/>
              </w:rPr>
            </w:pPr>
          </w:p>
        </w:tc>
      </w:tr>
      <w:tr w:rsidR="00724A4F" w14:paraId="6AD69C7C" w14:textId="77777777" w:rsidTr="00724A4F">
        <w:trPr>
          <w:cantSplit/>
        </w:trPr>
        <w:tc>
          <w:tcPr>
            <w:tcW w:w="0" w:type="auto"/>
            <w:shd w:val="clear" w:color="auto" w:fill="E1E3F2"/>
          </w:tcPr>
          <w:p w14:paraId="769E6DF4" w14:textId="77777777" w:rsidR="00724A4F" w:rsidRPr="002A1B2B" w:rsidRDefault="00724A4F" w:rsidP="00930CC9">
            <w:pPr>
              <w:rPr>
                <w:lang w:val="en-US"/>
              </w:rPr>
            </w:pPr>
            <w:r w:rsidRPr="002A1B2B">
              <w:rPr>
                <w:lang w:val="en-US"/>
              </w:rPr>
              <w:t>286</w:t>
            </w:r>
          </w:p>
        </w:tc>
        <w:tc>
          <w:tcPr>
            <w:tcW w:w="0" w:type="auto"/>
            <w:shd w:val="clear" w:color="auto" w:fill="E1E3F2"/>
          </w:tcPr>
          <w:p w14:paraId="36ED189C" w14:textId="77777777" w:rsidR="00724A4F" w:rsidRPr="002A1B2B" w:rsidRDefault="00724A4F" w:rsidP="00930CC9">
            <w:pPr>
              <w:rPr>
                <w:lang w:val="en-US"/>
              </w:rPr>
            </w:pPr>
            <w:r w:rsidRPr="002A1B2B">
              <w:rPr>
                <w:lang w:val="en-US"/>
              </w:rPr>
              <w:t>We believe that there is one additional point that could be made under the bulleted list.</w:t>
            </w:r>
          </w:p>
        </w:tc>
        <w:tc>
          <w:tcPr>
            <w:tcW w:w="0" w:type="auto"/>
            <w:shd w:val="clear" w:color="auto" w:fill="E1E3F2"/>
          </w:tcPr>
          <w:p w14:paraId="40D5F2F6" w14:textId="77777777" w:rsidR="00724A4F" w:rsidRPr="002A1B2B" w:rsidRDefault="00724A4F" w:rsidP="00930CC9">
            <w:pPr>
              <w:rPr>
                <w:bCs/>
                <w:lang w:val="en-US"/>
              </w:rPr>
            </w:pPr>
            <w:r w:rsidRPr="002A1B2B">
              <w:rPr>
                <w:bCs/>
                <w:lang w:val="en-US"/>
              </w:rPr>
              <w:t>Suggest adding a 5th bullet after line 286 that says “Use a data-driven approach to justify alternative PK/PD indices that may be appropriate for a given drug”</w:t>
            </w:r>
          </w:p>
        </w:tc>
      </w:tr>
      <w:tr w:rsidR="00724A4F" w14:paraId="36D2640F" w14:textId="77777777" w:rsidTr="00724A4F">
        <w:trPr>
          <w:cantSplit/>
        </w:trPr>
        <w:tc>
          <w:tcPr>
            <w:tcW w:w="0" w:type="auto"/>
            <w:shd w:val="clear" w:color="auto" w:fill="E1E3F2"/>
          </w:tcPr>
          <w:p w14:paraId="463E2813" w14:textId="77777777" w:rsidR="00724A4F" w:rsidRPr="002A1B2B" w:rsidRDefault="00724A4F" w:rsidP="00930CC9">
            <w:pPr>
              <w:rPr>
                <w:lang w:val="en-US"/>
              </w:rPr>
            </w:pPr>
            <w:r w:rsidRPr="002A1B2B">
              <w:rPr>
                <w:lang w:val="en-US"/>
              </w:rPr>
              <w:lastRenderedPageBreak/>
              <w:t>290</w:t>
            </w:r>
          </w:p>
        </w:tc>
        <w:tc>
          <w:tcPr>
            <w:tcW w:w="0" w:type="auto"/>
            <w:shd w:val="clear" w:color="auto" w:fill="E1E3F2"/>
          </w:tcPr>
          <w:p w14:paraId="59943173" w14:textId="77777777" w:rsidR="00724A4F" w:rsidRPr="002A1B2B" w:rsidRDefault="00724A4F" w:rsidP="00930CC9">
            <w:pPr>
              <w:rPr>
                <w:lang w:val="en-US"/>
              </w:rPr>
            </w:pPr>
            <w:r w:rsidRPr="002A1B2B">
              <w:rPr>
                <w:lang w:val="en-US"/>
              </w:rPr>
              <w:t>We agree with the advantages of in vitro PK/PD models as outlined beginning on line 273. However, we also believe that there are advantages to in vivo models that are not mentioned in the in vivo section and that could be specifically called out in the section beginning on line 290.</w:t>
            </w:r>
          </w:p>
        </w:tc>
        <w:tc>
          <w:tcPr>
            <w:tcW w:w="0" w:type="auto"/>
            <w:shd w:val="clear" w:color="auto" w:fill="E1E3F2"/>
          </w:tcPr>
          <w:p w14:paraId="2539ECBC" w14:textId="77777777" w:rsidR="00724A4F" w:rsidRPr="002A1B2B" w:rsidRDefault="00724A4F" w:rsidP="00930CC9">
            <w:pPr>
              <w:rPr>
                <w:bCs/>
                <w:lang w:val="en-US"/>
              </w:rPr>
            </w:pPr>
            <w:r w:rsidRPr="002A1B2B">
              <w:rPr>
                <w:bCs/>
                <w:lang w:val="en-US"/>
              </w:rPr>
              <w:t>Suggest adding an introductory statement that says “There are also some distinct advantages to in vivo models that may make them more suitable for early investigations, including</w:t>
            </w:r>
          </w:p>
          <w:p w14:paraId="3A3BA79D" w14:textId="77777777" w:rsidR="00724A4F" w:rsidRPr="002A1B2B" w:rsidRDefault="00724A4F" w:rsidP="00930CC9">
            <w:pPr>
              <w:numPr>
                <w:ilvl w:val="1"/>
                <w:numId w:val="41"/>
              </w:numPr>
              <w:ind w:left="360"/>
              <w:rPr>
                <w:bCs/>
                <w:lang w:val="en-US"/>
              </w:rPr>
            </w:pPr>
            <w:r w:rsidRPr="002A1B2B">
              <w:rPr>
                <w:bCs/>
                <w:lang w:val="en-US"/>
              </w:rPr>
              <w:t>Well established methods for defining PK/PD targets</w:t>
            </w:r>
          </w:p>
          <w:p w14:paraId="1D99F82C" w14:textId="77777777" w:rsidR="00724A4F" w:rsidRPr="002A1B2B" w:rsidRDefault="00724A4F" w:rsidP="00930CC9">
            <w:pPr>
              <w:numPr>
                <w:ilvl w:val="1"/>
                <w:numId w:val="41"/>
              </w:numPr>
              <w:ind w:left="360"/>
              <w:rPr>
                <w:bCs/>
                <w:lang w:val="en-US"/>
              </w:rPr>
            </w:pPr>
            <w:r w:rsidRPr="002A1B2B">
              <w:rPr>
                <w:bCs/>
                <w:lang w:val="en-US"/>
              </w:rPr>
              <w:t>Linkage between in vivo efficacy and clinical response has been established”</w:t>
            </w:r>
          </w:p>
        </w:tc>
      </w:tr>
      <w:tr w:rsidR="00724A4F" w14:paraId="76E2B6FC" w14:textId="77777777" w:rsidTr="00724A4F">
        <w:trPr>
          <w:cantSplit/>
        </w:trPr>
        <w:tc>
          <w:tcPr>
            <w:tcW w:w="0" w:type="auto"/>
            <w:shd w:val="clear" w:color="auto" w:fill="E1E3F2"/>
          </w:tcPr>
          <w:p w14:paraId="40557681" w14:textId="77777777" w:rsidR="00724A4F" w:rsidRPr="00EE6379" w:rsidRDefault="00724A4F" w:rsidP="00635287">
            <w:r w:rsidRPr="00EE6379">
              <w:t>341</w:t>
            </w:r>
          </w:p>
        </w:tc>
        <w:tc>
          <w:tcPr>
            <w:tcW w:w="0" w:type="auto"/>
            <w:shd w:val="clear" w:color="auto" w:fill="E1E3F2"/>
          </w:tcPr>
          <w:p w14:paraId="29B011A6" w14:textId="77777777" w:rsidR="00724A4F" w:rsidRPr="00EE6379" w:rsidRDefault="00724A4F" w:rsidP="00EE6379">
            <w:r w:rsidRPr="00EE6379">
              <w:t xml:space="preserve">IIV may indeed </w:t>
            </w:r>
            <w:r>
              <w:t xml:space="preserve">usually </w:t>
            </w:r>
            <w:r w:rsidRPr="00EE6379">
              <w:t>be higher in patients than HVs but the statement seems too strong.</w:t>
            </w:r>
          </w:p>
        </w:tc>
        <w:tc>
          <w:tcPr>
            <w:tcW w:w="0" w:type="auto"/>
            <w:shd w:val="clear" w:color="auto" w:fill="E1E3F2"/>
          </w:tcPr>
          <w:p w14:paraId="62A1DE86" w14:textId="77777777" w:rsidR="00724A4F" w:rsidRPr="00EE6379" w:rsidRDefault="00724A4F" w:rsidP="00EE6379">
            <w:r>
              <w:t>C</w:t>
            </w:r>
            <w:r w:rsidRPr="00EE6379">
              <w:t>hange into “</w:t>
            </w:r>
            <w:r>
              <w:t xml:space="preserve">... is </w:t>
            </w:r>
            <w:r w:rsidRPr="00EE6379">
              <w:t>often</w:t>
            </w:r>
            <w:r>
              <w:t xml:space="preserve"> </w:t>
            </w:r>
            <w:r w:rsidRPr="00EE6379">
              <w:t>considerably greater</w:t>
            </w:r>
            <w:r>
              <w:t>...</w:t>
            </w:r>
            <w:r w:rsidRPr="00EE6379">
              <w:t>”</w:t>
            </w:r>
          </w:p>
        </w:tc>
      </w:tr>
      <w:tr w:rsidR="00724A4F" w14:paraId="69C3C3AB" w14:textId="77777777" w:rsidTr="00724A4F">
        <w:trPr>
          <w:cantSplit/>
        </w:trPr>
        <w:tc>
          <w:tcPr>
            <w:tcW w:w="0" w:type="auto"/>
            <w:shd w:val="clear" w:color="auto" w:fill="E1E3F2"/>
          </w:tcPr>
          <w:p w14:paraId="7292C87F" w14:textId="77777777" w:rsidR="00724A4F" w:rsidRPr="002A1B2B" w:rsidRDefault="00724A4F" w:rsidP="00930CC9">
            <w:pPr>
              <w:rPr>
                <w:lang w:val="en-US"/>
              </w:rPr>
            </w:pPr>
            <w:r w:rsidRPr="002A1B2B">
              <w:rPr>
                <w:lang w:val="en-US"/>
              </w:rPr>
              <w:t>312-315</w:t>
            </w:r>
          </w:p>
        </w:tc>
        <w:tc>
          <w:tcPr>
            <w:tcW w:w="0" w:type="auto"/>
            <w:shd w:val="clear" w:color="auto" w:fill="E1E3F2"/>
          </w:tcPr>
          <w:p w14:paraId="0422A029" w14:textId="77777777" w:rsidR="00724A4F" w:rsidRPr="002A1B2B" w:rsidRDefault="00724A4F" w:rsidP="00930CC9">
            <w:pPr>
              <w:rPr>
                <w:lang w:val="en-US"/>
              </w:rPr>
            </w:pPr>
            <w:r w:rsidRPr="002A1B2B">
              <w:rPr>
                <w:lang w:val="en-US"/>
              </w:rPr>
              <w:t>Excellent point concerning differences among different agents (i.e., classes of drugs) and degree of bacterial killing. We believe this point also applies for different in vitro and in vivo models of infection as well, and thus suggest addition of language to this effect (see</w:t>
            </w:r>
            <w:r w:rsidRPr="002A1B2B">
              <w:rPr>
                <w:b/>
                <w:i/>
                <w:lang w:val="en-US"/>
              </w:rPr>
              <w:t xml:space="preserve"> bold italics</w:t>
            </w:r>
            <w:r w:rsidRPr="002A1B2B">
              <w:rPr>
                <w:lang w:val="en-US"/>
              </w:rPr>
              <w:t>)</w:t>
            </w:r>
          </w:p>
        </w:tc>
        <w:tc>
          <w:tcPr>
            <w:tcW w:w="0" w:type="auto"/>
            <w:shd w:val="clear" w:color="auto" w:fill="E1E3F2"/>
          </w:tcPr>
          <w:p w14:paraId="3F66E749" w14:textId="77777777" w:rsidR="00724A4F" w:rsidRPr="002A1B2B" w:rsidRDefault="00724A4F" w:rsidP="00930CC9">
            <w:pPr>
              <w:rPr>
                <w:lang w:val="en-US"/>
              </w:rPr>
            </w:pPr>
            <w:r w:rsidRPr="002A1B2B">
              <w:rPr>
                <w:lang w:val="en-US"/>
              </w:rPr>
              <w:t xml:space="preserve">“...taking into account </w:t>
            </w:r>
            <w:r w:rsidRPr="002A1B2B">
              <w:rPr>
                <w:bCs/>
                <w:iCs/>
                <w:lang w:val="en-US"/>
              </w:rPr>
              <w:t>not all agents will achieve 2-log reductions, or at least, not for all pathogens or</w:t>
            </w:r>
            <w:r w:rsidRPr="002A1B2B">
              <w:rPr>
                <w:b/>
                <w:bCs/>
                <w:i/>
                <w:iCs/>
                <w:lang w:val="en-US"/>
              </w:rPr>
              <w:t xml:space="preserve"> in all models”.</w:t>
            </w:r>
          </w:p>
        </w:tc>
      </w:tr>
      <w:tr w:rsidR="00724A4F" w14:paraId="2294124A" w14:textId="77777777" w:rsidTr="00724A4F">
        <w:trPr>
          <w:cantSplit/>
        </w:trPr>
        <w:tc>
          <w:tcPr>
            <w:tcW w:w="0" w:type="auto"/>
            <w:shd w:val="clear" w:color="auto" w:fill="E1E3F2"/>
          </w:tcPr>
          <w:p w14:paraId="16366365" w14:textId="77777777" w:rsidR="00724A4F" w:rsidRPr="002A1B2B" w:rsidRDefault="00724A4F" w:rsidP="00930CC9">
            <w:pPr>
              <w:rPr>
                <w:lang w:val="en-US"/>
              </w:rPr>
            </w:pPr>
            <w:r w:rsidRPr="002A1B2B">
              <w:rPr>
                <w:lang w:val="en-US"/>
              </w:rPr>
              <w:t>320</w:t>
            </w:r>
          </w:p>
        </w:tc>
        <w:tc>
          <w:tcPr>
            <w:tcW w:w="0" w:type="auto"/>
            <w:shd w:val="clear" w:color="auto" w:fill="E1E3F2"/>
          </w:tcPr>
          <w:p w14:paraId="3F8FDF3A" w14:textId="77777777" w:rsidR="00724A4F" w:rsidRPr="002A1B2B" w:rsidRDefault="00724A4F" w:rsidP="00930CC9">
            <w:pPr>
              <w:rPr>
                <w:lang w:val="en-US"/>
              </w:rPr>
            </w:pPr>
            <w:r w:rsidRPr="002A1B2B">
              <w:rPr>
                <w:lang w:val="en-US"/>
              </w:rPr>
              <w:t>We agree with the need to obtain appropriate clinical PK data to allow conduct of population PK analyses. Appropriate clinical PD data are also required to conduct of population exposure-response analyses.</w:t>
            </w:r>
          </w:p>
        </w:tc>
        <w:tc>
          <w:tcPr>
            <w:tcW w:w="0" w:type="auto"/>
            <w:shd w:val="clear" w:color="auto" w:fill="E1E3F2"/>
          </w:tcPr>
          <w:p w14:paraId="0D737D21" w14:textId="77777777" w:rsidR="00724A4F" w:rsidRPr="002A1B2B" w:rsidRDefault="00724A4F" w:rsidP="00930CC9">
            <w:pPr>
              <w:rPr>
                <w:lang w:val="en-US"/>
              </w:rPr>
            </w:pPr>
            <w:r w:rsidRPr="002A1B2B">
              <w:rPr>
                <w:lang w:val="en-US"/>
              </w:rPr>
              <w:t>Add “and PD” data to the title and a section describing the appropriate PD data to support exposure-response analyses.</w:t>
            </w:r>
          </w:p>
        </w:tc>
      </w:tr>
      <w:tr w:rsidR="00724A4F" w14:paraId="1873193C" w14:textId="77777777" w:rsidTr="00724A4F">
        <w:trPr>
          <w:cantSplit/>
        </w:trPr>
        <w:tc>
          <w:tcPr>
            <w:tcW w:w="0" w:type="auto"/>
            <w:shd w:val="clear" w:color="auto" w:fill="E1E3F2"/>
          </w:tcPr>
          <w:p w14:paraId="258E564F" w14:textId="77777777" w:rsidR="00724A4F" w:rsidRPr="002A1B2B" w:rsidRDefault="00724A4F" w:rsidP="00930CC9">
            <w:pPr>
              <w:rPr>
                <w:lang w:val="en-US"/>
              </w:rPr>
            </w:pPr>
            <w:r w:rsidRPr="002A1B2B">
              <w:rPr>
                <w:lang w:val="en-US"/>
              </w:rPr>
              <w:t>344 – 350</w:t>
            </w:r>
          </w:p>
        </w:tc>
        <w:tc>
          <w:tcPr>
            <w:tcW w:w="0" w:type="auto"/>
            <w:shd w:val="clear" w:color="auto" w:fill="E1E3F2"/>
          </w:tcPr>
          <w:p w14:paraId="6091DBBB" w14:textId="77777777" w:rsidR="00724A4F" w:rsidRPr="002A1B2B" w:rsidRDefault="00724A4F" w:rsidP="00930CC9">
            <w:pPr>
              <w:rPr>
                <w:lang w:val="en-US"/>
              </w:rPr>
            </w:pPr>
            <w:r w:rsidRPr="002A1B2B">
              <w:rPr>
                <w:lang w:val="en-US"/>
              </w:rPr>
              <w:t>We agree that an early read of the PK in patients is important so that the population PK model generated with healthy volunteer data can be updated with patient specific data and used to confirm the dose/exposure for larger clinical studies.</w:t>
            </w:r>
          </w:p>
          <w:p w14:paraId="56A77644" w14:textId="77777777" w:rsidR="00724A4F" w:rsidRPr="002A1B2B" w:rsidRDefault="00724A4F" w:rsidP="00930CC9">
            <w:pPr>
              <w:rPr>
                <w:lang w:val="en-US"/>
              </w:rPr>
            </w:pPr>
          </w:p>
          <w:p w14:paraId="7170E6AB" w14:textId="77777777" w:rsidR="00724A4F" w:rsidRPr="002A1B2B" w:rsidRDefault="00724A4F" w:rsidP="00930CC9">
            <w:pPr>
              <w:rPr>
                <w:lang w:val="en-US"/>
              </w:rPr>
            </w:pPr>
            <w:r w:rsidRPr="002A1B2B">
              <w:rPr>
                <w:lang w:val="en-US"/>
              </w:rPr>
              <w:t>We do not agree with specifying the sample design. The guidance should point to the need for a sample design that allows development of a robust model and accurate/precise PK parameter estimates to be obtained.</w:t>
            </w:r>
          </w:p>
        </w:tc>
        <w:tc>
          <w:tcPr>
            <w:tcW w:w="0" w:type="auto"/>
            <w:shd w:val="clear" w:color="auto" w:fill="E1E3F2"/>
          </w:tcPr>
          <w:p w14:paraId="134E1167" w14:textId="77777777" w:rsidR="00724A4F" w:rsidRPr="002A1B2B" w:rsidRDefault="00724A4F" w:rsidP="00930CC9">
            <w:pPr>
              <w:rPr>
                <w:lang w:val="en-US"/>
              </w:rPr>
            </w:pPr>
            <w:r w:rsidRPr="002A1B2B">
              <w:rPr>
                <w:lang w:val="en-US"/>
              </w:rPr>
              <w:t>Break these lines into 2 parts and change to:</w:t>
            </w:r>
          </w:p>
          <w:p w14:paraId="34FE69D2" w14:textId="77777777" w:rsidR="00724A4F" w:rsidRPr="002A1B2B" w:rsidRDefault="00724A4F" w:rsidP="00930CC9">
            <w:pPr>
              <w:rPr>
                <w:lang w:val="en-US"/>
              </w:rPr>
            </w:pPr>
            <w:r w:rsidRPr="002A1B2B">
              <w:rPr>
                <w:lang w:val="en-US"/>
              </w:rPr>
              <w:t>“PK data should be obtained from patients typical of the intended target population in terms of site of infection and severity of infection (but regardless of pathogen susceptibility) as early as possible in development and should be used to update the POPPK model based on healthy volunteer data. The updated model can support repeat PK-PD analyses and simulation to confirm or reject the likely sufficiency of the dose regimen before proceeding to larger studies in patients.”</w:t>
            </w:r>
          </w:p>
          <w:p w14:paraId="1F2E691E" w14:textId="77777777" w:rsidR="00724A4F" w:rsidRPr="002A1B2B" w:rsidRDefault="00724A4F" w:rsidP="00930CC9">
            <w:pPr>
              <w:rPr>
                <w:lang w:val="en-US"/>
              </w:rPr>
            </w:pPr>
          </w:p>
          <w:p w14:paraId="528376D8" w14:textId="77777777" w:rsidR="00724A4F" w:rsidRPr="002A1B2B" w:rsidRDefault="00724A4F" w:rsidP="00930CC9">
            <w:pPr>
              <w:rPr>
                <w:lang w:val="en-US"/>
              </w:rPr>
            </w:pPr>
            <w:r w:rsidRPr="002A1B2B">
              <w:rPr>
                <w:lang w:val="en-US"/>
              </w:rPr>
              <w:t>“The PK sampling design to be used in clinical studies (sparse sampling and/or intensive sampling) should be selected to allow accurate/precise PK parameter estimates to be obtained. Optimal sampling design can be used to select sample times and the sample design can be validated with clinical trial simulation.”</w:t>
            </w:r>
          </w:p>
        </w:tc>
      </w:tr>
      <w:tr w:rsidR="00724A4F" w14:paraId="4492B15D" w14:textId="77777777" w:rsidTr="00724A4F">
        <w:trPr>
          <w:cantSplit/>
        </w:trPr>
        <w:tc>
          <w:tcPr>
            <w:tcW w:w="0" w:type="auto"/>
            <w:shd w:val="clear" w:color="auto" w:fill="E1E3F2"/>
          </w:tcPr>
          <w:p w14:paraId="129BC155" w14:textId="77777777" w:rsidR="00724A4F" w:rsidRPr="002A1B2B" w:rsidRDefault="00724A4F" w:rsidP="00E56522">
            <w:pPr>
              <w:rPr>
                <w:lang w:val="en-US"/>
              </w:rPr>
            </w:pPr>
            <w:r w:rsidRPr="002A1B2B">
              <w:rPr>
                <w:lang w:val="en-US"/>
              </w:rPr>
              <w:lastRenderedPageBreak/>
              <w:t>354 – 360</w:t>
            </w:r>
          </w:p>
        </w:tc>
        <w:tc>
          <w:tcPr>
            <w:tcW w:w="0" w:type="auto"/>
            <w:shd w:val="clear" w:color="auto" w:fill="E1E3F2"/>
          </w:tcPr>
          <w:p w14:paraId="7C5485A2" w14:textId="77777777" w:rsidR="00724A4F" w:rsidRPr="002A1B2B" w:rsidRDefault="00724A4F" w:rsidP="00E56522">
            <w:pPr>
              <w:rPr>
                <w:lang w:val="en-US"/>
              </w:rPr>
            </w:pPr>
            <w:r w:rsidRPr="002A1B2B">
              <w:rPr>
                <w:lang w:val="en-US"/>
              </w:rPr>
              <w:t xml:space="preserve">If a drug is not highly protein bound and there is no </w:t>
            </w:r>
            <w:r w:rsidRPr="002A1B2B">
              <w:rPr>
                <w:i/>
                <w:lang w:val="en-US"/>
              </w:rPr>
              <w:t>in vitro</w:t>
            </w:r>
            <w:r w:rsidRPr="002A1B2B">
              <w:rPr>
                <w:lang w:val="en-US"/>
              </w:rPr>
              <w:t xml:space="preserve"> evidence of concentration-dependent binding, further study is not needed. Non-linear binding may need to be addressed by measuring free concentration in a study or using a model-based approach [e.g., Singh et al. CP&amp;T 2014; 95(suppl.1):S87].</w:t>
            </w:r>
          </w:p>
          <w:p w14:paraId="51979B0D" w14:textId="77777777" w:rsidR="00724A4F" w:rsidRPr="002A1B2B" w:rsidRDefault="00724A4F" w:rsidP="00E56522">
            <w:pPr>
              <w:rPr>
                <w:lang w:val="en-US"/>
              </w:rPr>
            </w:pPr>
            <w:r w:rsidRPr="002A1B2B">
              <w:rPr>
                <w:lang w:val="en-US"/>
              </w:rPr>
              <w:t>Technical difficulties in measuring protein binding may be an issue.</w:t>
            </w:r>
          </w:p>
        </w:tc>
        <w:tc>
          <w:tcPr>
            <w:tcW w:w="0" w:type="auto"/>
            <w:shd w:val="clear" w:color="auto" w:fill="E1E3F2"/>
          </w:tcPr>
          <w:p w14:paraId="40241DA9" w14:textId="77777777" w:rsidR="00724A4F" w:rsidRPr="002A1B2B" w:rsidRDefault="00724A4F" w:rsidP="00E56522">
            <w:pPr>
              <w:rPr>
                <w:lang w:val="en-US"/>
              </w:rPr>
            </w:pPr>
            <w:r w:rsidRPr="002A1B2B">
              <w:rPr>
                <w:lang w:val="en-US"/>
              </w:rPr>
              <w:t xml:space="preserve">Change to: “The degree of binding of the test agent to human plasma proteins in the presence of clinically relevant concentrations should be assessed. Initially, this is typically done </w:t>
            </w:r>
            <w:r w:rsidRPr="002A1B2B">
              <w:rPr>
                <w:i/>
                <w:lang w:val="en-US"/>
              </w:rPr>
              <w:t>in vitro</w:t>
            </w:r>
            <w:r w:rsidRPr="002A1B2B">
              <w:rPr>
                <w:lang w:val="en-US"/>
              </w:rPr>
              <w:t>. For drugs with non-linear binding, if technically feasible, further assessment may be necessary during drug development.”</w:t>
            </w:r>
          </w:p>
        </w:tc>
      </w:tr>
      <w:tr w:rsidR="00724A4F" w14:paraId="3C36B199" w14:textId="77777777" w:rsidTr="00724A4F">
        <w:trPr>
          <w:cantSplit/>
        </w:trPr>
        <w:tc>
          <w:tcPr>
            <w:tcW w:w="0" w:type="auto"/>
            <w:shd w:val="clear" w:color="auto" w:fill="E1E3F2"/>
          </w:tcPr>
          <w:p w14:paraId="4AAB15E0" w14:textId="77777777" w:rsidR="00724A4F" w:rsidRPr="002A1B2B" w:rsidRDefault="00724A4F" w:rsidP="00E56522">
            <w:pPr>
              <w:rPr>
                <w:color w:val="000000"/>
                <w:lang w:val="en-US"/>
              </w:rPr>
            </w:pPr>
            <w:r w:rsidRPr="002A1B2B">
              <w:rPr>
                <w:color w:val="000000"/>
                <w:lang w:val="en-US"/>
              </w:rPr>
              <w:t>361 – 363</w:t>
            </w:r>
          </w:p>
        </w:tc>
        <w:tc>
          <w:tcPr>
            <w:tcW w:w="0" w:type="auto"/>
            <w:shd w:val="clear" w:color="auto" w:fill="E1E3F2"/>
          </w:tcPr>
          <w:p w14:paraId="20730B18" w14:textId="77777777" w:rsidR="00724A4F" w:rsidRPr="00C615A7" w:rsidRDefault="00724A4F" w:rsidP="00E56522">
            <w:pPr>
              <w:rPr>
                <w:color w:val="000000"/>
                <w:lang w:val="en-US"/>
              </w:rPr>
            </w:pPr>
            <w:r w:rsidRPr="00C615A7">
              <w:rPr>
                <w:color w:val="000000"/>
                <w:lang w:val="en-US"/>
              </w:rPr>
              <w:t>We agree with the importance of obtaining drug concentration data at bodily sites more relevant to the site of infection in both preclinical animal efficacy studies and in humans. But, we remain concerned about the limitations and use of data obtained at body sites outside of plasma and would offer two points for consideration.</w:t>
            </w:r>
          </w:p>
          <w:p w14:paraId="787D4D97" w14:textId="77777777" w:rsidR="00724A4F" w:rsidRPr="00C615A7" w:rsidRDefault="00724A4F" w:rsidP="00E56522">
            <w:pPr>
              <w:rPr>
                <w:color w:val="000000"/>
                <w:lang w:val="en-US"/>
              </w:rPr>
            </w:pPr>
          </w:p>
          <w:p w14:paraId="7A168AB2" w14:textId="77777777" w:rsidR="00724A4F" w:rsidRPr="00C615A7" w:rsidRDefault="00724A4F" w:rsidP="00E56522">
            <w:pPr>
              <w:rPr>
                <w:color w:val="000000"/>
                <w:lang w:val="en-US"/>
              </w:rPr>
            </w:pPr>
            <w:r w:rsidRPr="00C615A7">
              <w:rPr>
                <w:color w:val="000000"/>
                <w:lang w:val="en-US"/>
              </w:rPr>
              <w:t>First, we would not specify “free” (line 361) as free drug is not always specifically assayed for (e.g., ELF).</w:t>
            </w:r>
          </w:p>
          <w:p w14:paraId="4DD3BDC8" w14:textId="77777777" w:rsidR="00724A4F" w:rsidRPr="00C615A7" w:rsidRDefault="00724A4F" w:rsidP="00E56522">
            <w:pPr>
              <w:rPr>
                <w:color w:val="000000"/>
                <w:lang w:val="en-US"/>
              </w:rPr>
            </w:pPr>
          </w:p>
          <w:p w14:paraId="4F2489E2" w14:textId="77777777" w:rsidR="00724A4F" w:rsidRPr="00C615A7" w:rsidRDefault="00724A4F" w:rsidP="00E56522">
            <w:pPr>
              <w:rPr>
                <w:color w:val="000000"/>
                <w:lang w:val="en-US"/>
              </w:rPr>
            </w:pPr>
            <w:r w:rsidRPr="00C615A7">
              <w:rPr>
                <w:color w:val="000000"/>
                <w:lang w:val="en-US"/>
              </w:rPr>
              <w:t xml:space="preserve">Second, and using ELF as an example, limitations of the data (BAL collection methodology, sampling limitations, drug/urea assay quality) and the influence of these limitations on measurement variability are substantial. Although we do think that ELF/plasma exposure ratios could be used to account for differences in lung penetration between animals and human and to justify plasma-based PD targets, we do not think that modeling simulations for PTA can routinely be meaningfully computed for ELF. </w:t>
            </w:r>
          </w:p>
        </w:tc>
        <w:tc>
          <w:tcPr>
            <w:tcW w:w="0" w:type="auto"/>
            <w:shd w:val="clear" w:color="auto" w:fill="E1E3F2"/>
          </w:tcPr>
          <w:p w14:paraId="47CA6FFA" w14:textId="77777777" w:rsidR="00724A4F" w:rsidRPr="00C615A7" w:rsidRDefault="00724A4F" w:rsidP="00E56522">
            <w:pPr>
              <w:rPr>
                <w:color w:val="000000"/>
                <w:lang w:val="en-US"/>
              </w:rPr>
            </w:pPr>
            <w:r w:rsidRPr="00C615A7">
              <w:rPr>
                <w:color w:val="000000"/>
                <w:lang w:val="en-US"/>
              </w:rPr>
              <w:t>Change to: “As relevant to the test agent and its intended clinical uses, test agent concentration-time data should be presented for specific body fluids and related to plasma/serum levels</w:t>
            </w:r>
            <w:r w:rsidRPr="00C615A7">
              <w:rPr>
                <w:dstrike/>
                <w:color w:val="000000"/>
                <w:lang w:val="en-US"/>
              </w:rPr>
              <w:t xml:space="preserve"> using compartmental PK modeling</w:t>
            </w:r>
            <w:r w:rsidRPr="00C615A7">
              <w:rPr>
                <w:color w:val="000000"/>
                <w:lang w:val="en-US"/>
              </w:rPr>
              <w:t>.”</w:t>
            </w:r>
          </w:p>
        </w:tc>
      </w:tr>
      <w:tr w:rsidR="00724A4F" w14:paraId="37456574" w14:textId="77777777" w:rsidTr="00724A4F">
        <w:trPr>
          <w:cantSplit/>
        </w:trPr>
        <w:tc>
          <w:tcPr>
            <w:tcW w:w="0" w:type="auto"/>
            <w:shd w:val="clear" w:color="auto" w:fill="E1E3F2"/>
          </w:tcPr>
          <w:p w14:paraId="19480404" w14:textId="77777777" w:rsidR="00724A4F" w:rsidRDefault="00724A4F" w:rsidP="00373560">
            <w:pPr>
              <w:rPr>
                <w:color w:val="000000"/>
                <w:lang w:val="en-US"/>
              </w:rPr>
            </w:pPr>
            <w:r>
              <w:rPr>
                <w:color w:val="000000"/>
                <w:lang w:val="en-US"/>
              </w:rPr>
              <w:t>361-363</w:t>
            </w:r>
          </w:p>
        </w:tc>
        <w:tc>
          <w:tcPr>
            <w:tcW w:w="0" w:type="auto"/>
            <w:shd w:val="clear" w:color="auto" w:fill="E1E3F2"/>
          </w:tcPr>
          <w:p w14:paraId="7ACEC13A" w14:textId="77777777" w:rsidR="00724A4F" w:rsidRPr="002A594E" w:rsidRDefault="00724A4F" w:rsidP="00373560">
            <w:pPr>
              <w:rPr>
                <w:color w:val="000000"/>
                <w:lang w:val="en-US"/>
              </w:rPr>
            </w:pPr>
            <w:r>
              <w:rPr>
                <w:color w:val="000000"/>
                <w:lang w:val="en-US"/>
              </w:rPr>
              <w:t xml:space="preserve">As an aside, we </w:t>
            </w:r>
            <w:r w:rsidRPr="002A594E">
              <w:rPr>
                <w:color w:val="000000"/>
                <w:lang w:val="en-US"/>
              </w:rPr>
              <w:t xml:space="preserve">note that an assessment of the extent of drug penetration can </w:t>
            </w:r>
            <w:r>
              <w:rPr>
                <w:color w:val="000000"/>
                <w:lang w:val="en-US"/>
              </w:rPr>
              <w:t xml:space="preserve">sometimes </w:t>
            </w:r>
            <w:r w:rsidRPr="002A594E">
              <w:rPr>
                <w:color w:val="000000"/>
                <w:lang w:val="en-US"/>
              </w:rPr>
              <w:t>be obtained through compartmental and non-compartmental methods (e.g., for drugs with rapid distribution</w:t>
            </w:r>
            <w:r>
              <w:rPr>
                <w:color w:val="000000"/>
                <w:lang w:val="en-US"/>
              </w:rPr>
              <w:t xml:space="preserve"> and </w:t>
            </w:r>
            <w:r w:rsidRPr="003505F5">
              <w:rPr>
                <w:color w:val="000000"/>
                <w:lang w:val="en-US"/>
              </w:rPr>
              <w:t>a complete concentration-time profile on penetration into a relevant compartment such as ELF</w:t>
            </w:r>
            <w:r w:rsidRPr="002A594E">
              <w:rPr>
                <w:color w:val="000000"/>
                <w:lang w:val="en-US"/>
              </w:rPr>
              <w:t>).</w:t>
            </w:r>
          </w:p>
        </w:tc>
        <w:tc>
          <w:tcPr>
            <w:tcW w:w="0" w:type="auto"/>
            <w:shd w:val="clear" w:color="auto" w:fill="E1E3F2"/>
          </w:tcPr>
          <w:p w14:paraId="68D7BB9D" w14:textId="77777777" w:rsidR="00724A4F" w:rsidRPr="002A594E" w:rsidRDefault="00724A4F" w:rsidP="00373560">
            <w:pPr>
              <w:rPr>
                <w:color w:val="000000"/>
                <w:lang w:val="en-US"/>
              </w:rPr>
            </w:pPr>
          </w:p>
        </w:tc>
      </w:tr>
      <w:tr w:rsidR="00724A4F" w14:paraId="120ACAEC" w14:textId="77777777" w:rsidTr="00724A4F">
        <w:trPr>
          <w:cantSplit/>
        </w:trPr>
        <w:tc>
          <w:tcPr>
            <w:tcW w:w="0" w:type="auto"/>
            <w:shd w:val="clear" w:color="auto" w:fill="E1E3F2"/>
          </w:tcPr>
          <w:p w14:paraId="7C51F0CC" w14:textId="77777777" w:rsidR="00724A4F" w:rsidRPr="002A1B2B" w:rsidRDefault="00724A4F" w:rsidP="00E56522">
            <w:pPr>
              <w:rPr>
                <w:lang w:val="en-US"/>
              </w:rPr>
            </w:pPr>
            <w:r w:rsidRPr="002A1B2B">
              <w:rPr>
                <w:lang w:val="en-US"/>
              </w:rPr>
              <w:lastRenderedPageBreak/>
              <w:br w:type="page"/>
              <w:t>375 – 379</w:t>
            </w:r>
          </w:p>
        </w:tc>
        <w:tc>
          <w:tcPr>
            <w:tcW w:w="0" w:type="auto"/>
            <w:shd w:val="clear" w:color="auto" w:fill="E1E3F2"/>
          </w:tcPr>
          <w:p w14:paraId="6E8FC442" w14:textId="77777777" w:rsidR="00724A4F" w:rsidRPr="002A1B2B" w:rsidRDefault="00724A4F" w:rsidP="00E56522">
            <w:pPr>
              <w:rPr>
                <w:lang w:val="en-US"/>
              </w:rPr>
            </w:pPr>
            <w:r w:rsidRPr="002A1B2B">
              <w:rPr>
                <w:lang w:val="en-US"/>
              </w:rPr>
              <w:t>Please describe where the concern with PPV on PK has arisen.</w:t>
            </w:r>
          </w:p>
          <w:p w14:paraId="1C690573" w14:textId="77777777" w:rsidR="00724A4F" w:rsidRPr="002A1B2B" w:rsidRDefault="00724A4F" w:rsidP="0064725D">
            <w:pPr>
              <w:pStyle w:val="ColorfulList-Accent11"/>
              <w:numPr>
                <w:ilvl w:val="0"/>
                <w:numId w:val="42"/>
              </w:numPr>
              <w:ind w:left="360"/>
              <w:rPr>
                <w:rFonts w:ascii="Verdana" w:hAnsi="Verdana"/>
                <w:sz w:val="18"/>
                <w:szCs w:val="18"/>
              </w:rPr>
            </w:pPr>
            <w:r w:rsidRPr="002A1B2B">
              <w:rPr>
                <w:rFonts w:ascii="Verdana" w:hAnsi="Verdana"/>
                <w:sz w:val="18"/>
                <w:szCs w:val="18"/>
              </w:rPr>
              <w:t>Is it related to a potential impact of PPV on hemodynamics resulting in changes in drug distribution/elimination? If so, are there non-clinical data including in vivo models that have indicated such an effect?</w:t>
            </w:r>
          </w:p>
          <w:p w14:paraId="0402CECB" w14:textId="77777777" w:rsidR="00724A4F" w:rsidRPr="002A1B2B" w:rsidRDefault="00724A4F" w:rsidP="0064725D">
            <w:pPr>
              <w:pStyle w:val="ColorfulList-Accent11"/>
              <w:numPr>
                <w:ilvl w:val="0"/>
                <w:numId w:val="42"/>
              </w:numPr>
              <w:ind w:left="360"/>
              <w:rPr>
                <w:rFonts w:ascii="Verdana" w:hAnsi="Verdana"/>
                <w:sz w:val="18"/>
                <w:szCs w:val="18"/>
              </w:rPr>
            </w:pPr>
            <w:r w:rsidRPr="002A1B2B">
              <w:rPr>
                <w:rFonts w:ascii="Verdana" w:hAnsi="Verdana"/>
                <w:sz w:val="18"/>
                <w:szCs w:val="18"/>
              </w:rPr>
              <w:t>Is the concern related to sepsis physiology frequently observed in patients on PPV?</w:t>
            </w:r>
          </w:p>
          <w:p w14:paraId="7AC3F631" w14:textId="77777777" w:rsidR="00724A4F" w:rsidRPr="002A1B2B" w:rsidRDefault="00724A4F" w:rsidP="0064725D">
            <w:pPr>
              <w:pStyle w:val="ColorfulList-Accent11"/>
              <w:numPr>
                <w:ilvl w:val="0"/>
                <w:numId w:val="42"/>
              </w:numPr>
              <w:ind w:left="360"/>
              <w:rPr>
                <w:rFonts w:ascii="Verdana" w:hAnsi="Verdana"/>
                <w:sz w:val="18"/>
                <w:szCs w:val="18"/>
              </w:rPr>
            </w:pPr>
            <w:r w:rsidRPr="002A1B2B">
              <w:rPr>
                <w:rFonts w:ascii="Verdana" w:hAnsi="Verdana"/>
                <w:sz w:val="18"/>
                <w:szCs w:val="18"/>
              </w:rPr>
              <w:t>If the concern is related to augmented renal clearance, should this be considered independent of PPV, as ARC is sometimes observed in patients who are not on PPV?</w:t>
            </w:r>
          </w:p>
          <w:p w14:paraId="4AC8BBB3" w14:textId="77777777" w:rsidR="00724A4F" w:rsidRPr="002A1B2B" w:rsidRDefault="00724A4F" w:rsidP="0064725D">
            <w:pPr>
              <w:pStyle w:val="ColorfulList-Accent11"/>
              <w:numPr>
                <w:ilvl w:val="0"/>
                <w:numId w:val="42"/>
              </w:numPr>
              <w:ind w:left="360"/>
              <w:rPr>
                <w:rFonts w:ascii="Verdana" w:hAnsi="Verdana"/>
                <w:sz w:val="18"/>
                <w:szCs w:val="18"/>
              </w:rPr>
            </w:pPr>
            <w:r w:rsidRPr="002A1B2B">
              <w:rPr>
                <w:rFonts w:ascii="Verdana" w:hAnsi="Verdana"/>
                <w:sz w:val="18"/>
                <w:szCs w:val="18"/>
              </w:rPr>
              <w:t>Can the agency propose examples of how a dedicated study would be designed to address the potential for PPV to affect PK?</w:t>
            </w:r>
          </w:p>
          <w:p w14:paraId="11D58C49" w14:textId="77777777" w:rsidR="00724A4F" w:rsidRPr="002A1B2B" w:rsidRDefault="00724A4F" w:rsidP="0064725D">
            <w:pPr>
              <w:pStyle w:val="ColorfulList-Accent11"/>
              <w:numPr>
                <w:ilvl w:val="0"/>
                <w:numId w:val="42"/>
              </w:numPr>
              <w:ind w:left="360"/>
              <w:rPr>
                <w:rFonts w:ascii="Verdana" w:hAnsi="Verdana"/>
                <w:sz w:val="18"/>
                <w:szCs w:val="18"/>
              </w:rPr>
            </w:pPr>
            <w:r w:rsidRPr="002A1B2B">
              <w:rPr>
                <w:rFonts w:ascii="Verdana" w:hAnsi="Verdana"/>
                <w:sz w:val="18"/>
                <w:szCs w:val="18"/>
              </w:rPr>
              <w:t>How does one determine if PPV will affect the PK of a test agent based on its physicochemical properties?</w:t>
            </w:r>
          </w:p>
        </w:tc>
        <w:tc>
          <w:tcPr>
            <w:tcW w:w="0" w:type="auto"/>
            <w:shd w:val="clear" w:color="auto" w:fill="E1E3F2"/>
          </w:tcPr>
          <w:p w14:paraId="48738038" w14:textId="77777777" w:rsidR="00724A4F" w:rsidRPr="002A1B2B" w:rsidRDefault="00724A4F" w:rsidP="00E56522">
            <w:pPr>
              <w:rPr>
                <w:lang w:val="en-US"/>
              </w:rPr>
            </w:pPr>
            <w:r w:rsidRPr="002A1B2B">
              <w:rPr>
                <w:lang w:val="en-US"/>
              </w:rPr>
              <w:t>This section should be significantly revised or stricken. If the points about PPV are retained, material should be added to explain the concern (see list of questions in our comment) and expectations for its resolution.</w:t>
            </w:r>
          </w:p>
        </w:tc>
      </w:tr>
      <w:tr w:rsidR="00724A4F" w14:paraId="59CD80F2" w14:textId="77777777" w:rsidTr="00724A4F">
        <w:trPr>
          <w:cantSplit/>
        </w:trPr>
        <w:tc>
          <w:tcPr>
            <w:tcW w:w="0" w:type="auto"/>
            <w:shd w:val="clear" w:color="auto" w:fill="E1E3F2"/>
          </w:tcPr>
          <w:p w14:paraId="43178CC3" w14:textId="77777777" w:rsidR="00724A4F" w:rsidRPr="002A1B2B" w:rsidRDefault="00724A4F" w:rsidP="00E56522">
            <w:pPr>
              <w:rPr>
                <w:lang w:val="en-US"/>
              </w:rPr>
            </w:pPr>
            <w:r w:rsidRPr="002A1B2B">
              <w:rPr>
                <w:lang w:val="en-US"/>
              </w:rPr>
              <w:t>407-408</w:t>
            </w:r>
          </w:p>
        </w:tc>
        <w:tc>
          <w:tcPr>
            <w:tcW w:w="0" w:type="auto"/>
            <w:shd w:val="clear" w:color="auto" w:fill="E1E3F2"/>
          </w:tcPr>
          <w:p w14:paraId="797FE430" w14:textId="77777777" w:rsidR="00724A4F" w:rsidRPr="002A1B2B" w:rsidRDefault="00724A4F" w:rsidP="00E56522">
            <w:pPr>
              <w:rPr>
                <w:lang w:val="en-US"/>
              </w:rPr>
            </w:pPr>
            <w:r w:rsidRPr="002A1B2B">
              <w:rPr>
                <w:lang w:val="en-US"/>
              </w:rPr>
              <w:t xml:space="preserve">While relevant for </w:t>
            </w:r>
            <w:proofErr w:type="spellStart"/>
            <w:r w:rsidRPr="002A1B2B">
              <w:rPr>
                <w:lang w:val="en-US"/>
              </w:rPr>
              <w:t>renally</w:t>
            </w:r>
            <w:proofErr w:type="spellEnd"/>
            <w:r w:rsidRPr="002A1B2B">
              <w:rPr>
                <w:lang w:val="en-US"/>
              </w:rPr>
              <w:t xml:space="preserve"> cleared drugs, no allowance made for drugs not impacted by renal function</w:t>
            </w:r>
          </w:p>
        </w:tc>
        <w:tc>
          <w:tcPr>
            <w:tcW w:w="0" w:type="auto"/>
            <w:shd w:val="clear" w:color="auto" w:fill="E1E3F2"/>
          </w:tcPr>
          <w:p w14:paraId="3A61ECFD" w14:textId="77777777" w:rsidR="00724A4F" w:rsidRPr="002A1B2B" w:rsidRDefault="00724A4F" w:rsidP="00E56522">
            <w:pPr>
              <w:rPr>
                <w:lang w:val="en-US"/>
              </w:rPr>
            </w:pPr>
            <w:r w:rsidRPr="002A1B2B">
              <w:rPr>
                <w:lang w:val="en-US"/>
              </w:rPr>
              <w:t xml:space="preserve">Revise to say “For </w:t>
            </w:r>
            <w:proofErr w:type="spellStart"/>
            <w:r w:rsidRPr="002A1B2B">
              <w:rPr>
                <w:lang w:val="en-US"/>
              </w:rPr>
              <w:t>renally</w:t>
            </w:r>
            <w:proofErr w:type="spellEnd"/>
            <w:r w:rsidRPr="002A1B2B">
              <w:rPr>
                <w:lang w:val="en-US"/>
              </w:rPr>
              <w:t xml:space="preserve"> cleared drugs, including a distribution for creatinine clearance that is usually found in the target population should be considered.”</w:t>
            </w:r>
          </w:p>
        </w:tc>
      </w:tr>
      <w:tr w:rsidR="00724A4F" w14:paraId="618D505A" w14:textId="77777777" w:rsidTr="00724A4F">
        <w:trPr>
          <w:cantSplit/>
        </w:trPr>
        <w:tc>
          <w:tcPr>
            <w:tcW w:w="0" w:type="auto"/>
            <w:shd w:val="clear" w:color="auto" w:fill="E1E3F2"/>
          </w:tcPr>
          <w:p w14:paraId="3BD8B85A" w14:textId="77777777" w:rsidR="00724A4F" w:rsidRPr="00C615A7" w:rsidRDefault="00724A4F" w:rsidP="00E56522">
            <w:pPr>
              <w:rPr>
                <w:color w:val="000000"/>
                <w:lang w:val="en-US"/>
              </w:rPr>
            </w:pPr>
            <w:r w:rsidRPr="00C615A7">
              <w:rPr>
                <w:color w:val="000000"/>
                <w:lang w:val="en-US"/>
              </w:rPr>
              <w:t>407-408</w:t>
            </w:r>
          </w:p>
        </w:tc>
        <w:tc>
          <w:tcPr>
            <w:tcW w:w="0" w:type="auto"/>
            <w:shd w:val="clear" w:color="auto" w:fill="E1E3F2"/>
          </w:tcPr>
          <w:p w14:paraId="042538E1" w14:textId="77777777" w:rsidR="00724A4F" w:rsidRPr="00C615A7" w:rsidRDefault="00724A4F" w:rsidP="00E56522">
            <w:pPr>
              <w:rPr>
                <w:color w:val="000000"/>
                <w:lang w:val="en-US"/>
              </w:rPr>
            </w:pPr>
            <w:r w:rsidRPr="00C615A7">
              <w:rPr>
                <w:color w:val="000000"/>
                <w:lang w:val="en-US"/>
              </w:rPr>
              <w:t xml:space="preserve">Does this speak to renal insufficiency or to augmented renal clearance (ARC)? For ARC, how do we better understand and predict this phenomenon? The use of the Cockcroft- </w:t>
            </w:r>
            <w:proofErr w:type="spellStart"/>
            <w:r w:rsidRPr="00C615A7">
              <w:rPr>
                <w:color w:val="000000"/>
                <w:lang w:val="en-US"/>
              </w:rPr>
              <w:t>Gault</w:t>
            </w:r>
            <w:proofErr w:type="spellEnd"/>
            <w:r w:rsidRPr="00C615A7">
              <w:rPr>
                <w:color w:val="000000"/>
                <w:lang w:val="en-US"/>
              </w:rPr>
              <w:t xml:space="preserve"> equation may be a less precise estimate of creatinine clearance in certain circumstances such as when renal function is not stable. Methods of estimated creatinine clearance should be clear &amp; justified. Sponsor should consider whether using existing methods for estimation of creatinine clearance is an appropriate approach vs. an independent population PK derived approach for predicting the drug’s clearance.</w:t>
            </w:r>
          </w:p>
        </w:tc>
        <w:tc>
          <w:tcPr>
            <w:tcW w:w="0" w:type="auto"/>
            <w:shd w:val="clear" w:color="auto" w:fill="E1E3F2"/>
          </w:tcPr>
          <w:p w14:paraId="2303BD99" w14:textId="77777777" w:rsidR="00724A4F" w:rsidRPr="00C615A7" w:rsidRDefault="00724A4F" w:rsidP="00E56522">
            <w:pPr>
              <w:rPr>
                <w:color w:val="000000"/>
                <w:lang w:val="en-US"/>
              </w:rPr>
            </w:pPr>
            <w:r w:rsidRPr="00C615A7">
              <w:rPr>
                <w:color w:val="000000"/>
                <w:lang w:val="en-US"/>
              </w:rPr>
              <w:t>The Agency is requested to speak to strengths/limitations of methods of estimating creatinine clearance for simulation purposes and insights on predicting individuals with ARC.</w:t>
            </w:r>
          </w:p>
        </w:tc>
      </w:tr>
      <w:tr w:rsidR="00724A4F" w14:paraId="7BA078F0" w14:textId="77777777" w:rsidTr="00724A4F">
        <w:trPr>
          <w:cantSplit/>
        </w:trPr>
        <w:tc>
          <w:tcPr>
            <w:tcW w:w="0" w:type="auto"/>
            <w:shd w:val="clear" w:color="auto" w:fill="E1E3F2"/>
          </w:tcPr>
          <w:p w14:paraId="05506843" w14:textId="77777777" w:rsidR="00724A4F" w:rsidRPr="002A1B2B" w:rsidRDefault="00724A4F" w:rsidP="00E56522">
            <w:pPr>
              <w:rPr>
                <w:lang w:val="en-US"/>
              </w:rPr>
            </w:pPr>
            <w:r w:rsidRPr="002A1B2B">
              <w:rPr>
                <w:lang w:val="en-US"/>
              </w:rPr>
              <w:t>417-418 and 430-435</w:t>
            </w:r>
          </w:p>
        </w:tc>
        <w:tc>
          <w:tcPr>
            <w:tcW w:w="0" w:type="auto"/>
            <w:shd w:val="clear" w:color="auto" w:fill="E1E3F2"/>
          </w:tcPr>
          <w:p w14:paraId="78BC8477" w14:textId="77777777" w:rsidR="00724A4F" w:rsidRPr="002A1B2B" w:rsidRDefault="00724A4F" w:rsidP="00E56522">
            <w:pPr>
              <w:rPr>
                <w:lang w:val="en-US"/>
              </w:rPr>
            </w:pPr>
            <w:r w:rsidRPr="002A1B2B">
              <w:rPr>
                <w:lang w:val="en-US"/>
              </w:rPr>
              <w:t>Sponsor should consider incorporating these factors into the core justification of the PDT(s) used in simulations, instead of increasing the number of PTA analyses. The text implies potential for generating a large number of tables/figures.</w:t>
            </w:r>
          </w:p>
        </w:tc>
        <w:tc>
          <w:tcPr>
            <w:tcW w:w="0" w:type="auto"/>
            <w:shd w:val="clear" w:color="auto" w:fill="E1E3F2"/>
          </w:tcPr>
          <w:p w14:paraId="7332B6EC" w14:textId="77777777" w:rsidR="00724A4F" w:rsidRPr="002A1B2B" w:rsidRDefault="00724A4F" w:rsidP="00E56522">
            <w:pPr>
              <w:rPr>
                <w:lang w:val="en-US"/>
              </w:rPr>
            </w:pPr>
            <w:r w:rsidRPr="002A1B2B">
              <w:rPr>
                <w:lang w:val="en-US"/>
              </w:rPr>
              <w:t xml:space="preserve">Modify text to suggest instead that the presentation should focus on the PTA for the relevant PDT for the given indication and population. </w:t>
            </w:r>
          </w:p>
        </w:tc>
      </w:tr>
      <w:tr w:rsidR="00724A4F" w14:paraId="28A607C1" w14:textId="77777777" w:rsidTr="00724A4F">
        <w:trPr>
          <w:cantSplit/>
        </w:trPr>
        <w:tc>
          <w:tcPr>
            <w:tcW w:w="0" w:type="auto"/>
            <w:shd w:val="clear" w:color="auto" w:fill="E1E3F2"/>
          </w:tcPr>
          <w:p w14:paraId="564C7D1B" w14:textId="77777777" w:rsidR="00724A4F" w:rsidRPr="002A1B2B" w:rsidRDefault="00724A4F" w:rsidP="00E56522">
            <w:pPr>
              <w:rPr>
                <w:lang w:val="en-US"/>
              </w:rPr>
            </w:pPr>
            <w:r w:rsidRPr="002A1B2B">
              <w:rPr>
                <w:bCs/>
                <w:iCs/>
                <w:lang w:val="en-US"/>
              </w:rPr>
              <w:lastRenderedPageBreak/>
              <w:t>419-35</w:t>
            </w:r>
          </w:p>
        </w:tc>
        <w:tc>
          <w:tcPr>
            <w:tcW w:w="0" w:type="auto"/>
            <w:shd w:val="clear" w:color="auto" w:fill="E1E3F2"/>
          </w:tcPr>
          <w:p w14:paraId="4F6860A1" w14:textId="77777777" w:rsidR="00724A4F" w:rsidRPr="002A1B2B" w:rsidRDefault="00724A4F" w:rsidP="00E56522">
            <w:pPr>
              <w:rPr>
                <w:lang w:val="en-US"/>
              </w:rPr>
            </w:pPr>
            <w:r w:rsidRPr="002A1B2B">
              <w:rPr>
                <w:lang w:val="en-US"/>
              </w:rPr>
              <w:t xml:space="preserve">We do not believe that such specific recommendations for log-drops and specific infections or “burden levels” are supported by adequate data for all drugs and all models of infection such that specific thresholds would be stated in the guidance. </w:t>
            </w:r>
          </w:p>
          <w:p w14:paraId="724FE8F0" w14:textId="77777777" w:rsidR="00724A4F" w:rsidRPr="002A1B2B" w:rsidRDefault="00724A4F" w:rsidP="00E56522">
            <w:pPr>
              <w:numPr>
                <w:ilvl w:val="0"/>
                <w:numId w:val="43"/>
              </w:numPr>
              <w:ind w:left="360"/>
              <w:rPr>
                <w:lang w:val="en-US"/>
              </w:rPr>
            </w:pPr>
            <w:r w:rsidRPr="002A1B2B">
              <w:rPr>
                <w:lang w:val="en-US"/>
              </w:rPr>
              <w:t xml:space="preserve">Suggest </w:t>
            </w:r>
            <w:r w:rsidRPr="002A1B2B">
              <w:rPr>
                <w:i/>
                <w:iCs/>
                <w:u w:val="single"/>
                <w:lang w:val="en-US"/>
              </w:rPr>
              <w:t>replacement</w:t>
            </w:r>
            <w:r w:rsidRPr="002A1B2B">
              <w:rPr>
                <w:lang w:val="en-US"/>
              </w:rPr>
              <w:t xml:space="preserve"> of text in 419-35 with the following points for consideration:</w:t>
            </w:r>
          </w:p>
          <w:p w14:paraId="7EA820F7" w14:textId="77777777" w:rsidR="00724A4F" w:rsidRPr="002A1B2B" w:rsidRDefault="00724A4F" w:rsidP="00E56522">
            <w:pPr>
              <w:numPr>
                <w:ilvl w:val="1"/>
                <w:numId w:val="43"/>
              </w:numPr>
              <w:rPr>
                <w:lang w:val="en-US"/>
              </w:rPr>
            </w:pPr>
          </w:p>
          <w:p w14:paraId="1305A596" w14:textId="77777777" w:rsidR="00724A4F" w:rsidRPr="002A1B2B" w:rsidRDefault="00724A4F" w:rsidP="00E56522">
            <w:pPr>
              <w:rPr>
                <w:lang w:val="en-US"/>
              </w:rPr>
            </w:pPr>
            <w:r w:rsidRPr="002A1B2B">
              <w:rPr>
                <w:lang w:val="en-US"/>
              </w:rPr>
              <w:t>Sponsor should justify the selection of the target based on the totality of the data, which includes consideration of:</w:t>
            </w:r>
          </w:p>
          <w:p w14:paraId="5AAE16B9" w14:textId="77777777" w:rsidR="00724A4F" w:rsidRPr="002A1B2B" w:rsidRDefault="00724A4F" w:rsidP="00E56522">
            <w:pPr>
              <w:pStyle w:val="ColorfulList-Accent11"/>
              <w:numPr>
                <w:ilvl w:val="0"/>
                <w:numId w:val="44"/>
              </w:numPr>
              <w:ind w:left="360"/>
              <w:rPr>
                <w:rFonts w:ascii="Verdana" w:hAnsi="Verdana"/>
                <w:sz w:val="18"/>
                <w:szCs w:val="18"/>
              </w:rPr>
            </w:pPr>
            <w:r w:rsidRPr="002A1B2B">
              <w:rPr>
                <w:rFonts w:ascii="Verdana" w:hAnsi="Verdana"/>
                <w:sz w:val="18"/>
                <w:szCs w:val="18"/>
              </w:rPr>
              <w:t>Mode of action and drug class</w:t>
            </w:r>
          </w:p>
          <w:p w14:paraId="63AAAFFD" w14:textId="77777777" w:rsidR="00724A4F" w:rsidRPr="002A1B2B" w:rsidRDefault="00724A4F" w:rsidP="00E56522">
            <w:pPr>
              <w:pStyle w:val="ColorfulList-Accent11"/>
              <w:numPr>
                <w:ilvl w:val="0"/>
                <w:numId w:val="44"/>
              </w:numPr>
              <w:ind w:left="360"/>
              <w:rPr>
                <w:rFonts w:ascii="Verdana" w:hAnsi="Verdana"/>
                <w:sz w:val="18"/>
                <w:szCs w:val="18"/>
              </w:rPr>
            </w:pPr>
            <w:r w:rsidRPr="002A1B2B">
              <w:rPr>
                <w:rFonts w:ascii="Verdana" w:hAnsi="Verdana"/>
                <w:sz w:val="18"/>
                <w:szCs w:val="18"/>
              </w:rPr>
              <w:t>Resistance development</w:t>
            </w:r>
          </w:p>
          <w:p w14:paraId="262E759F" w14:textId="77777777" w:rsidR="00724A4F" w:rsidRPr="002A1B2B" w:rsidRDefault="00724A4F" w:rsidP="00E56522">
            <w:pPr>
              <w:pStyle w:val="ColorfulList-Accent11"/>
              <w:numPr>
                <w:ilvl w:val="0"/>
                <w:numId w:val="44"/>
              </w:numPr>
              <w:ind w:left="360"/>
              <w:rPr>
                <w:rFonts w:ascii="Verdana" w:hAnsi="Verdana"/>
                <w:sz w:val="18"/>
                <w:szCs w:val="18"/>
              </w:rPr>
            </w:pPr>
            <w:r w:rsidRPr="002A1B2B">
              <w:rPr>
                <w:rFonts w:ascii="Verdana" w:hAnsi="Verdana"/>
                <w:sz w:val="18"/>
                <w:szCs w:val="18"/>
              </w:rPr>
              <w:t>Endpoint and timing (e.g., rapidity of clinical and microbiological response)</w:t>
            </w:r>
          </w:p>
          <w:p w14:paraId="5F632023" w14:textId="77777777" w:rsidR="00724A4F" w:rsidRPr="002A1B2B" w:rsidRDefault="00724A4F" w:rsidP="00E56522">
            <w:pPr>
              <w:pStyle w:val="ColorfulList-Accent11"/>
              <w:numPr>
                <w:ilvl w:val="0"/>
                <w:numId w:val="44"/>
              </w:numPr>
              <w:ind w:left="360"/>
              <w:rPr>
                <w:rFonts w:ascii="Verdana" w:hAnsi="Verdana"/>
                <w:sz w:val="18"/>
                <w:szCs w:val="18"/>
              </w:rPr>
            </w:pPr>
            <w:r w:rsidRPr="002A1B2B">
              <w:rPr>
                <w:rFonts w:ascii="Verdana" w:hAnsi="Verdana"/>
                <w:sz w:val="18"/>
                <w:szCs w:val="18"/>
              </w:rPr>
              <w:t>Linkage (where possible) to other members of an existing drug class</w:t>
            </w:r>
          </w:p>
        </w:tc>
        <w:tc>
          <w:tcPr>
            <w:tcW w:w="0" w:type="auto"/>
            <w:shd w:val="clear" w:color="auto" w:fill="E1E3F2"/>
          </w:tcPr>
          <w:p w14:paraId="78D4D493" w14:textId="77777777" w:rsidR="00724A4F" w:rsidRPr="002A1B2B" w:rsidRDefault="00724A4F" w:rsidP="00E56522">
            <w:pPr>
              <w:rPr>
                <w:u w:val="single"/>
                <w:lang w:val="en-US"/>
              </w:rPr>
            </w:pPr>
            <w:r w:rsidRPr="002A1B2B">
              <w:rPr>
                <w:u w:val="single"/>
                <w:lang w:val="en-US"/>
              </w:rPr>
              <w:t>Suggested replacement text:</w:t>
            </w:r>
          </w:p>
          <w:p w14:paraId="17EC00E5" w14:textId="77777777" w:rsidR="00724A4F" w:rsidRPr="002A1B2B" w:rsidRDefault="00724A4F" w:rsidP="00E56522">
            <w:pPr>
              <w:rPr>
                <w:lang w:val="en-US"/>
              </w:rPr>
            </w:pPr>
            <w:r w:rsidRPr="002A1B2B">
              <w:rPr>
                <w:lang w:val="en-US"/>
              </w:rPr>
              <w:t xml:space="preserve">Based on the </w:t>
            </w:r>
            <w:r w:rsidRPr="002A1B2B">
              <w:rPr>
                <w:bCs/>
                <w:lang w:val="en-US"/>
              </w:rPr>
              <w:t>current body of evidence</w:t>
            </w:r>
            <w:r w:rsidRPr="002A1B2B">
              <w:rPr>
                <w:lang w:val="en-US"/>
              </w:rPr>
              <w:t xml:space="preserve">, it is not possible to broadly specify levels of bacterial killing in in vitro and in animal models of infection that relate to efficacy at specific sites of infections or indications in patients. A drug’s mechanism(s) of action and resistance, inoculum size, and duration of therapy in the model are among several factors that preclude generalized recommendations. </w:t>
            </w:r>
          </w:p>
          <w:p w14:paraId="53EAFD79" w14:textId="77777777" w:rsidR="00724A4F" w:rsidRPr="002A1B2B" w:rsidRDefault="00724A4F" w:rsidP="00E56522">
            <w:pPr>
              <w:rPr>
                <w:lang w:val="en-US"/>
              </w:rPr>
            </w:pPr>
          </w:p>
          <w:p w14:paraId="790AF234" w14:textId="77777777" w:rsidR="00724A4F" w:rsidRPr="002A1B2B" w:rsidRDefault="00724A4F" w:rsidP="00E56522">
            <w:pPr>
              <w:rPr>
                <w:bCs/>
                <w:lang w:val="en-US"/>
              </w:rPr>
            </w:pPr>
            <w:r w:rsidRPr="002A1B2B">
              <w:rPr>
                <w:lang w:val="en-US"/>
              </w:rPr>
              <w:t xml:space="preserve">However, </w:t>
            </w:r>
            <w:r w:rsidRPr="002A1B2B">
              <w:rPr>
                <w:bCs/>
                <w:lang w:val="en-US"/>
              </w:rPr>
              <w:t>there may be instances</w:t>
            </w:r>
            <w:r w:rsidRPr="002A1B2B">
              <w:rPr>
                <w:lang w:val="en-US"/>
              </w:rPr>
              <w:t xml:space="preserve"> where one can use previously derived clinical and nonclinical data for existing approved antimicrobial agents as “benchmarks” for determining the PDTs of new agents. In these cases, the extent of bacterial killing and PDTs in nonclinical models with humanized exposures of an </w:t>
            </w:r>
            <w:r w:rsidRPr="002A1B2B">
              <w:rPr>
                <w:bCs/>
                <w:lang w:val="en-US"/>
              </w:rPr>
              <w:t>existing approved agent may provide a “benchmark” target for the new agent from the same class.</w:t>
            </w:r>
          </w:p>
          <w:p w14:paraId="33FAC0A2" w14:textId="77777777" w:rsidR="00724A4F" w:rsidRPr="002A1B2B" w:rsidRDefault="00724A4F" w:rsidP="00E56522">
            <w:pPr>
              <w:rPr>
                <w:bCs/>
                <w:lang w:val="en-US"/>
              </w:rPr>
            </w:pPr>
          </w:p>
          <w:p w14:paraId="35BCD78D" w14:textId="77777777" w:rsidR="00724A4F" w:rsidRPr="002A1B2B" w:rsidRDefault="00724A4F" w:rsidP="00E56522">
            <w:pPr>
              <w:rPr>
                <w:i/>
                <w:lang w:val="en-US"/>
              </w:rPr>
            </w:pPr>
            <w:r w:rsidRPr="002A1B2B">
              <w:rPr>
                <w:lang w:val="en-US"/>
              </w:rPr>
              <w:t xml:space="preserve">The sponsor should provide justification of PDTs selected for use in analyses of PTA by considering </w:t>
            </w:r>
            <w:r w:rsidRPr="002A1B2B">
              <w:rPr>
                <w:bCs/>
                <w:lang w:val="en-US"/>
              </w:rPr>
              <w:t>clinical endpoints, disease severity, burden level of the pathogen, and drug specific properties</w:t>
            </w:r>
            <w:r w:rsidRPr="002A1B2B">
              <w:rPr>
                <w:lang w:val="en-US"/>
              </w:rPr>
              <w:t>. Furthermore, the sponsor can consider additional aims in the justification of the magnitude of the PDT, such as minimizing the risk of selecting for resistance rapidity of response to treatment, or specific patient populations (e.g., profoundly neutropenic).</w:t>
            </w:r>
            <w:r w:rsidRPr="002A1B2B">
              <w:rPr>
                <w:i/>
                <w:lang w:val="en-US"/>
              </w:rPr>
              <w:t> </w:t>
            </w:r>
          </w:p>
        </w:tc>
      </w:tr>
      <w:tr w:rsidR="00724A4F" w14:paraId="7ACC1247" w14:textId="77777777" w:rsidTr="00724A4F">
        <w:trPr>
          <w:cantSplit/>
        </w:trPr>
        <w:tc>
          <w:tcPr>
            <w:tcW w:w="0" w:type="auto"/>
            <w:shd w:val="clear" w:color="auto" w:fill="E1E3F2"/>
          </w:tcPr>
          <w:p w14:paraId="04842E31" w14:textId="77777777" w:rsidR="00724A4F" w:rsidRPr="00AC75DD" w:rsidRDefault="00724A4F" w:rsidP="00635287">
            <w:r w:rsidRPr="00AC75DD">
              <w:t>436</w:t>
            </w:r>
          </w:p>
        </w:tc>
        <w:tc>
          <w:tcPr>
            <w:tcW w:w="0" w:type="auto"/>
            <w:shd w:val="clear" w:color="auto" w:fill="E1E3F2"/>
          </w:tcPr>
          <w:p w14:paraId="5DECAE51" w14:textId="77777777" w:rsidR="00724A4F" w:rsidRPr="00AC75DD" w:rsidRDefault="00724A4F" w:rsidP="00AC75DD">
            <w:r w:rsidRPr="00AC75DD">
              <w:t xml:space="preserve">The 95%CI of the PTA depends on the sample size selected to conduct the simulations, so that the width of the 95%CI will decrease as sample size increase. </w:t>
            </w:r>
          </w:p>
        </w:tc>
        <w:tc>
          <w:tcPr>
            <w:tcW w:w="0" w:type="auto"/>
            <w:shd w:val="clear" w:color="auto" w:fill="E1E3F2"/>
          </w:tcPr>
          <w:p w14:paraId="5BE8532F" w14:textId="77777777" w:rsidR="00724A4F" w:rsidRPr="00AC75DD" w:rsidRDefault="00724A4F" w:rsidP="00E56522">
            <w:r>
              <w:rPr>
                <w:lang w:val="en-US"/>
              </w:rPr>
              <w:t xml:space="preserve">Add a sentence along these lines: </w:t>
            </w:r>
            <w:r w:rsidRPr="00AC75DD">
              <w:rPr>
                <w:lang w:val="en-US"/>
              </w:rPr>
              <w:t>“As the precision of the 95% CI for the PTA estimate depends upon the sample size, this should be considered at the design stage”.</w:t>
            </w:r>
          </w:p>
        </w:tc>
      </w:tr>
      <w:tr w:rsidR="00724A4F" w14:paraId="78C4B40D" w14:textId="77777777" w:rsidTr="00724A4F">
        <w:trPr>
          <w:cantSplit/>
        </w:trPr>
        <w:tc>
          <w:tcPr>
            <w:tcW w:w="0" w:type="auto"/>
            <w:shd w:val="clear" w:color="auto" w:fill="E1E3F2"/>
          </w:tcPr>
          <w:p w14:paraId="01E636B1" w14:textId="77777777" w:rsidR="00724A4F" w:rsidRPr="002A1B2B" w:rsidRDefault="00724A4F" w:rsidP="00E56522">
            <w:pPr>
              <w:rPr>
                <w:lang w:val="en-US"/>
              </w:rPr>
            </w:pPr>
            <w:r w:rsidRPr="002A1B2B">
              <w:rPr>
                <w:lang w:val="en-US"/>
              </w:rPr>
              <w:t>438-449</w:t>
            </w:r>
          </w:p>
        </w:tc>
        <w:tc>
          <w:tcPr>
            <w:tcW w:w="0" w:type="auto"/>
            <w:shd w:val="clear" w:color="auto" w:fill="E1E3F2"/>
          </w:tcPr>
          <w:p w14:paraId="77CCD261" w14:textId="77777777" w:rsidR="00724A4F" w:rsidRPr="002A1B2B" w:rsidRDefault="00724A4F" w:rsidP="00E56522">
            <w:pPr>
              <w:rPr>
                <w:lang w:val="en-US"/>
              </w:rPr>
            </w:pPr>
            <w:r w:rsidRPr="002A1B2B">
              <w:rPr>
                <w:lang w:val="en-US"/>
              </w:rPr>
              <w:t xml:space="preserve">Appropriate that </w:t>
            </w:r>
            <w:proofErr w:type="spellStart"/>
            <w:r w:rsidRPr="002A1B2B">
              <w:rPr>
                <w:lang w:val="en-US"/>
              </w:rPr>
              <w:t>risk</w:t>
            </w:r>
            <w:proofErr w:type="gramStart"/>
            <w:r w:rsidRPr="002A1B2B">
              <w:rPr>
                <w:lang w:val="en-US"/>
              </w:rPr>
              <w:t>:benefit</w:t>
            </w:r>
            <w:proofErr w:type="spellEnd"/>
            <w:proofErr w:type="gramEnd"/>
            <w:r w:rsidRPr="002A1B2B">
              <w:rPr>
                <w:lang w:val="en-US"/>
              </w:rPr>
              <w:t xml:space="preserve"> be considered. </w:t>
            </w:r>
          </w:p>
          <w:p w14:paraId="07AFC848" w14:textId="77777777" w:rsidR="00724A4F" w:rsidRPr="002A1B2B" w:rsidRDefault="00724A4F" w:rsidP="00E56522">
            <w:pPr>
              <w:rPr>
                <w:lang w:val="en-US"/>
              </w:rPr>
            </w:pPr>
            <w:r w:rsidRPr="002A1B2B">
              <w:rPr>
                <w:lang w:val="en-US"/>
              </w:rPr>
              <w:t xml:space="preserve">No mention of how to handle combinations (e.g. BL/BLIs) and if joint PTA preferred method versus other integrated approach through approaches such as a dynamic MIC or a </w:t>
            </w:r>
            <w:proofErr w:type="spellStart"/>
            <w:r w:rsidRPr="002A1B2B">
              <w:rPr>
                <w:lang w:val="en-US"/>
              </w:rPr>
              <w:t>pharmacometric</w:t>
            </w:r>
            <w:proofErr w:type="spellEnd"/>
            <w:r w:rsidRPr="002A1B2B">
              <w:rPr>
                <w:lang w:val="en-US"/>
              </w:rPr>
              <w:t>-based mechanistic model.</w:t>
            </w:r>
          </w:p>
        </w:tc>
        <w:tc>
          <w:tcPr>
            <w:tcW w:w="0" w:type="auto"/>
            <w:shd w:val="clear" w:color="auto" w:fill="E1E3F2"/>
          </w:tcPr>
          <w:p w14:paraId="7DA33211" w14:textId="77777777" w:rsidR="00724A4F" w:rsidRPr="002A1B2B" w:rsidRDefault="00724A4F" w:rsidP="00E56522">
            <w:pPr>
              <w:rPr>
                <w:lang w:val="en-US"/>
              </w:rPr>
            </w:pPr>
            <w:r w:rsidRPr="002A1B2B">
              <w:rPr>
                <w:lang w:val="en-US"/>
              </w:rPr>
              <w:t>Suggest emphasizing value of PTA as tool for relative comparison with known members of the class, other internal controls, or between organs, indications, pathogens or PDTs, instead of focusing on a specific numerical PTA cut off (i.e., specific targets such as 90% PTA should be given as examples rather than hard targets).</w:t>
            </w:r>
          </w:p>
        </w:tc>
      </w:tr>
      <w:tr w:rsidR="00724A4F" w14:paraId="13BA907E" w14:textId="77777777" w:rsidTr="00724A4F">
        <w:trPr>
          <w:cantSplit/>
        </w:trPr>
        <w:tc>
          <w:tcPr>
            <w:tcW w:w="0" w:type="auto"/>
            <w:shd w:val="clear" w:color="auto" w:fill="E1E3F2"/>
          </w:tcPr>
          <w:p w14:paraId="2D3C5CEC" w14:textId="77777777" w:rsidR="00724A4F" w:rsidRPr="00C615A7" w:rsidRDefault="00724A4F" w:rsidP="00E56522">
            <w:pPr>
              <w:rPr>
                <w:color w:val="000000"/>
                <w:lang w:val="en-US"/>
              </w:rPr>
            </w:pPr>
            <w:r w:rsidRPr="00C615A7">
              <w:rPr>
                <w:color w:val="000000"/>
                <w:lang w:val="en-US"/>
              </w:rPr>
              <w:lastRenderedPageBreak/>
              <w:t>449</w:t>
            </w:r>
          </w:p>
        </w:tc>
        <w:tc>
          <w:tcPr>
            <w:tcW w:w="0" w:type="auto"/>
            <w:shd w:val="clear" w:color="auto" w:fill="E1E3F2"/>
          </w:tcPr>
          <w:p w14:paraId="7FC5897F" w14:textId="77777777" w:rsidR="00724A4F" w:rsidRPr="00C615A7" w:rsidRDefault="00724A4F" w:rsidP="00E56522">
            <w:pPr>
              <w:rPr>
                <w:color w:val="000000"/>
                <w:lang w:val="en-US"/>
              </w:rPr>
            </w:pPr>
            <w:r w:rsidRPr="00C615A7">
              <w:rPr>
                <w:color w:val="000000"/>
                <w:lang w:val="en-US"/>
              </w:rPr>
              <w:t>In certain circumstances, consideration of a precision medicine approach with personalized, exposure-targeted dosing recommendation may enable achieving high PTA</w:t>
            </w:r>
          </w:p>
        </w:tc>
        <w:tc>
          <w:tcPr>
            <w:tcW w:w="0" w:type="auto"/>
            <w:shd w:val="clear" w:color="auto" w:fill="E1E3F2"/>
          </w:tcPr>
          <w:p w14:paraId="5838BD14" w14:textId="77777777" w:rsidR="00724A4F" w:rsidRPr="00C615A7" w:rsidRDefault="00724A4F" w:rsidP="00E56522">
            <w:pPr>
              <w:rPr>
                <w:color w:val="000000"/>
                <w:lang w:val="en-US"/>
              </w:rPr>
            </w:pPr>
            <w:r w:rsidRPr="00C615A7">
              <w:rPr>
                <w:color w:val="000000"/>
                <w:lang w:val="en-US"/>
              </w:rPr>
              <w:t>Recommend adding language following line 449: “A personalized dosing approach to achieve target exposures may be considered, instead of a fixed dosing recommendation based on a population-derived PTA threshold, in patient populations with a high unmet medical need and highly variable PK properties, such as the critically ill. Individualized pharmacology dosing support, or if available, therapeutic drug management, may be tools to achieve individually optimized target attainment”</w:t>
            </w:r>
          </w:p>
        </w:tc>
      </w:tr>
      <w:tr w:rsidR="00724A4F" w14:paraId="11A31ABE" w14:textId="77777777" w:rsidTr="00724A4F">
        <w:trPr>
          <w:cantSplit/>
        </w:trPr>
        <w:tc>
          <w:tcPr>
            <w:tcW w:w="0" w:type="auto"/>
            <w:shd w:val="clear" w:color="auto" w:fill="E1E3F2"/>
          </w:tcPr>
          <w:p w14:paraId="7745FEA6" w14:textId="77777777" w:rsidR="00724A4F" w:rsidRPr="002A1B2B" w:rsidRDefault="00724A4F" w:rsidP="00E56522">
            <w:pPr>
              <w:rPr>
                <w:lang w:val="en-US"/>
              </w:rPr>
            </w:pPr>
            <w:r w:rsidRPr="002A1B2B">
              <w:rPr>
                <w:lang w:val="en-US"/>
              </w:rPr>
              <w:t>473-474</w:t>
            </w:r>
          </w:p>
        </w:tc>
        <w:tc>
          <w:tcPr>
            <w:tcW w:w="0" w:type="auto"/>
            <w:shd w:val="clear" w:color="auto" w:fill="E1E3F2"/>
          </w:tcPr>
          <w:p w14:paraId="53470E14" w14:textId="77777777" w:rsidR="00724A4F" w:rsidRPr="002A1B2B" w:rsidRDefault="00724A4F" w:rsidP="00E56522">
            <w:pPr>
              <w:rPr>
                <w:bCs/>
                <w:lang w:val="en-US"/>
              </w:rPr>
            </w:pPr>
            <w:r w:rsidRPr="002A1B2B">
              <w:rPr>
                <w:bCs/>
                <w:lang w:val="en-US"/>
              </w:rPr>
              <w:t>We agree that there are well-delineated limitations for deriving E-R relationships in some settings.</w:t>
            </w:r>
          </w:p>
          <w:p w14:paraId="67F40522" w14:textId="77777777" w:rsidR="00724A4F" w:rsidRPr="002A1B2B" w:rsidRDefault="00724A4F" w:rsidP="00E56522">
            <w:pPr>
              <w:rPr>
                <w:bCs/>
                <w:lang w:val="en-US"/>
              </w:rPr>
            </w:pPr>
          </w:p>
          <w:p w14:paraId="1775CA76" w14:textId="77777777" w:rsidR="00724A4F" w:rsidRPr="002A1B2B" w:rsidRDefault="00724A4F" w:rsidP="00E56522">
            <w:pPr>
              <w:rPr>
                <w:bCs/>
                <w:lang w:val="en-US"/>
              </w:rPr>
            </w:pPr>
            <w:r w:rsidRPr="002A1B2B">
              <w:rPr>
                <w:bCs/>
                <w:lang w:val="en-US"/>
              </w:rPr>
              <w:t>Although such analyses should be attempted by Sponsors, it may not be possible to derive clinical PDTs in all settings, supporting reliance on nonclinical targets.</w:t>
            </w:r>
          </w:p>
        </w:tc>
        <w:tc>
          <w:tcPr>
            <w:tcW w:w="0" w:type="auto"/>
            <w:shd w:val="clear" w:color="auto" w:fill="E1E3F2"/>
          </w:tcPr>
          <w:p w14:paraId="1CE4D3EE" w14:textId="77777777" w:rsidR="00724A4F" w:rsidRPr="002A1B2B" w:rsidRDefault="00724A4F" w:rsidP="00E56522">
            <w:pPr>
              <w:rPr>
                <w:bCs/>
                <w:lang w:val="en-US"/>
              </w:rPr>
            </w:pPr>
            <w:r w:rsidRPr="002A1B2B">
              <w:rPr>
                <w:bCs/>
                <w:lang w:val="en-US"/>
              </w:rPr>
              <w:t xml:space="preserve">We agree with and support retention of the language noting the limitations of E-R analyses and support reliance on nonclinical targets in this setting. </w:t>
            </w:r>
          </w:p>
        </w:tc>
      </w:tr>
      <w:tr w:rsidR="00724A4F" w14:paraId="3C3CB703" w14:textId="77777777" w:rsidTr="00724A4F">
        <w:trPr>
          <w:cantSplit/>
        </w:trPr>
        <w:tc>
          <w:tcPr>
            <w:tcW w:w="0" w:type="auto"/>
            <w:shd w:val="clear" w:color="auto" w:fill="E1E3F2"/>
          </w:tcPr>
          <w:p w14:paraId="3945B73A" w14:textId="77777777" w:rsidR="00724A4F" w:rsidRPr="002A1B2B" w:rsidRDefault="00724A4F" w:rsidP="00E56522">
            <w:pPr>
              <w:rPr>
                <w:lang w:val="en-US"/>
              </w:rPr>
            </w:pPr>
            <w:r w:rsidRPr="002A1B2B">
              <w:rPr>
                <w:lang w:val="en-US"/>
              </w:rPr>
              <w:t>486-493</w:t>
            </w:r>
          </w:p>
        </w:tc>
        <w:tc>
          <w:tcPr>
            <w:tcW w:w="0" w:type="auto"/>
            <w:shd w:val="clear" w:color="auto" w:fill="E1E3F2"/>
          </w:tcPr>
          <w:p w14:paraId="4292FB7F" w14:textId="77777777" w:rsidR="00724A4F" w:rsidRPr="002A1B2B" w:rsidRDefault="00724A4F" w:rsidP="00E56522">
            <w:pPr>
              <w:rPr>
                <w:bCs/>
                <w:lang w:val="en-US"/>
              </w:rPr>
            </w:pPr>
            <w:r w:rsidRPr="002A1B2B">
              <w:rPr>
                <w:bCs/>
                <w:lang w:val="en-US"/>
              </w:rPr>
              <w:t xml:space="preserve">This section is unclear as it relates to E-R analyses. </w:t>
            </w:r>
          </w:p>
        </w:tc>
        <w:tc>
          <w:tcPr>
            <w:tcW w:w="0" w:type="auto"/>
            <w:shd w:val="clear" w:color="auto" w:fill="E1E3F2"/>
          </w:tcPr>
          <w:p w14:paraId="1BC6FF4C" w14:textId="77777777" w:rsidR="00724A4F" w:rsidRPr="002A1B2B" w:rsidRDefault="00724A4F" w:rsidP="00E56522">
            <w:pPr>
              <w:rPr>
                <w:bCs/>
                <w:lang w:val="en-US"/>
              </w:rPr>
            </w:pPr>
            <w:r w:rsidRPr="002A1B2B">
              <w:rPr>
                <w:bCs/>
                <w:lang w:val="en-US"/>
              </w:rPr>
              <w:t>Please expand this section to clarify intentions or delete the section</w:t>
            </w:r>
          </w:p>
        </w:tc>
      </w:tr>
      <w:tr w:rsidR="00724A4F" w14:paraId="7D4CD68F" w14:textId="77777777" w:rsidTr="00724A4F">
        <w:trPr>
          <w:cantSplit/>
        </w:trPr>
        <w:tc>
          <w:tcPr>
            <w:tcW w:w="0" w:type="auto"/>
            <w:shd w:val="clear" w:color="auto" w:fill="E1E3F2"/>
          </w:tcPr>
          <w:p w14:paraId="0045D4F8" w14:textId="77777777" w:rsidR="00724A4F" w:rsidRPr="002A1B2B" w:rsidRDefault="00724A4F" w:rsidP="00E56522">
            <w:pPr>
              <w:rPr>
                <w:lang w:val="en-US"/>
              </w:rPr>
            </w:pPr>
            <w:r w:rsidRPr="002A1B2B">
              <w:rPr>
                <w:lang w:val="en-US"/>
              </w:rPr>
              <w:t>495-497</w:t>
            </w:r>
          </w:p>
        </w:tc>
        <w:tc>
          <w:tcPr>
            <w:tcW w:w="0" w:type="auto"/>
            <w:shd w:val="clear" w:color="auto" w:fill="E1E3F2"/>
          </w:tcPr>
          <w:p w14:paraId="1207F0A2" w14:textId="77777777" w:rsidR="00724A4F" w:rsidRPr="002A1B2B" w:rsidRDefault="00724A4F" w:rsidP="00E56522">
            <w:pPr>
              <w:rPr>
                <w:bCs/>
                <w:lang w:val="en-US"/>
              </w:rPr>
            </w:pPr>
            <w:r w:rsidRPr="002A1B2B">
              <w:rPr>
                <w:bCs/>
                <w:lang w:val="en-US"/>
              </w:rPr>
              <w:t>We appreciate the flexibility in model and statistical approaches based upon Sponsor’s a priori plans and/or data exploration.</w:t>
            </w:r>
          </w:p>
          <w:p w14:paraId="55A735B8" w14:textId="77777777" w:rsidR="00724A4F" w:rsidRPr="002A1B2B" w:rsidRDefault="00724A4F" w:rsidP="00E56522">
            <w:pPr>
              <w:rPr>
                <w:bCs/>
                <w:lang w:val="en-US"/>
              </w:rPr>
            </w:pPr>
          </w:p>
          <w:p w14:paraId="0AC4A4E7" w14:textId="77777777" w:rsidR="00724A4F" w:rsidRPr="002A1B2B" w:rsidRDefault="00724A4F" w:rsidP="00E56522">
            <w:pPr>
              <w:rPr>
                <w:bCs/>
                <w:lang w:val="en-US"/>
              </w:rPr>
            </w:pPr>
            <w:r w:rsidRPr="002A1B2B">
              <w:rPr>
                <w:bCs/>
                <w:lang w:val="en-US"/>
              </w:rPr>
              <w:t>While typical dichotomous assessments include Micro/clinical responses at TOC, other types of analyses (continuous, time to event) may provide a broader utility including the examination of alternative endpoints (e.g. improvement in biomarkers such as PaO</w:t>
            </w:r>
            <w:r w:rsidRPr="002A1B2B">
              <w:rPr>
                <w:bCs/>
                <w:vertAlign w:val="subscript"/>
                <w:lang w:val="en-US"/>
              </w:rPr>
              <w:t>2</w:t>
            </w:r>
            <w:r w:rsidRPr="002A1B2B">
              <w:rPr>
                <w:bCs/>
                <w:lang w:val="en-US"/>
              </w:rPr>
              <w:t>/FiO</w:t>
            </w:r>
            <w:r w:rsidRPr="002A1B2B">
              <w:rPr>
                <w:bCs/>
                <w:vertAlign w:val="subscript"/>
                <w:lang w:val="en-US"/>
              </w:rPr>
              <w:t>2</w:t>
            </w:r>
            <w:r w:rsidRPr="002A1B2B">
              <w:rPr>
                <w:bCs/>
                <w:lang w:val="en-US"/>
              </w:rPr>
              <w:t xml:space="preserve"> ratios, </w:t>
            </w:r>
            <w:proofErr w:type="spellStart"/>
            <w:r w:rsidRPr="002A1B2B">
              <w:rPr>
                <w:bCs/>
                <w:lang w:val="en-US"/>
              </w:rPr>
              <w:t>defervescence</w:t>
            </w:r>
            <w:proofErr w:type="spellEnd"/>
            <w:r w:rsidRPr="002A1B2B">
              <w:rPr>
                <w:bCs/>
                <w:lang w:val="en-US"/>
              </w:rPr>
              <w:t>, decrease in wound size) to support dosing and/or effect size estimations particularly for indications in which the knowledge base is limited.</w:t>
            </w:r>
          </w:p>
        </w:tc>
        <w:tc>
          <w:tcPr>
            <w:tcW w:w="0" w:type="auto"/>
            <w:shd w:val="clear" w:color="auto" w:fill="E1E3F2"/>
          </w:tcPr>
          <w:p w14:paraId="34F6DB6E" w14:textId="77777777" w:rsidR="00724A4F" w:rsidRPr="002A1B2B" w:rsidRDefault="00724A4F" w:rsidP="00E56522">
            <w:pPr>
              <w:rPr>
                <w:bCs/>
                <w:lang w:val="en-US"/>
              </w:rPr>
            </w:pPr>
            <w:r w:rsidRPr="002A1B2B">
              <w:rPr>
                <w:bCs/>
                <w:lang w:val="en-US"/>
              </w:rPr>
              <w:t xml:space="preserve">Consider this additional language: “Sponsors are encouraged to explore alternative endpoints in E-R analyses to support dose justification and effect size estimations.” </w:t>
            </w:r>
          </w:p>
        </w:tc>
      </w:tr>
      <w:tr w:rsidR="00724A4F" w14:paraId="61B7DDD5" w14:textId="77777777" w:rsidTr="00724A4F">
        <w:trPr>
          <w:cantSplit/>
        </w:trPr>
        <w:tc>
          <w:tcPr>
            <w:tcW w:w="0" w:type="auto"/>
            <w:shd w:val="clear" w:color="auto" w:fill="E1E3F2"/>
          </w:tcPr>
          <w:p w14:paraId="07D036B8" w14:textId="77777777" w:rsidR="00724A4F" w:rsidRPr="00C615A7" w:rsidRDefault="00724A4F" w:rsidP="00E56522">
            <w:pPr>
              <w:rPr>
                <w:color w:val="000000"/>
                <w:lang w:val="en-US"/>
              </w:rPr>
            </w:pPr>
            <w:r w:rsidRPr="00C615A7">
              <w:rPr>
                <w:color w:val="000000"/>
                <w:lang w:val="en-US"/>
              </w:rPr>
              <w:lastRenderedPageBreak/>
              <w:t>510-512</w:t>
            </w:r>
          </w:p>
        </w:tc>
        <w:tc>
          <w:tcPr>
            <w:tcW w:w="0" w:type="auto"/>
            <w:shd w:val="clear" w:color="auto" w:fill="E1E3F2"/>
          </w:tcPr>
          <w:p w14:paraId="59CFF39B" w14:textId="77777777" w:rsidR="00724A4F" w:rsidRPr="00C615A7" w:rsidRDefault="00724A4F" w:rsidP="00E56522">
            <w:pPr>
              <w:rPr>
                <w:bCs/>
                <w:color w:val="000000"/>
                <w:lang w:val="en-US"/>
              </w:rPr>
            </w:pPr>
            <w:r w:rsidRPr="00C615A7">
              <w:rPr>
                <w:bCs/>
                <w:color w:val="000000"/>
                <w:lang w:val="en-US"/>
              </w:rPr>
              <w:t xml:space="preserve">We appreciate EMA consideration in that E-R supports predicted PTA, but it may NOT fully reflect successful response rates due to multitude of potential confounding factors. </w:t>
            </w:r>
          </w:p>
          <w:p w14:paraId="19C15515" w14:textId="77777777" w:rsidR="00724A4F" w:rsidRPr="00C615A7" w:rsidRDefault="00724A4F" w:rsidP="00E56522">
            <w:pPr>
              <w:rPr>
                <w:bCs/>
                <w:color w:val="000000"/>
                <w:lang w:val="en-US"/>
              </w:rPr>
            </w:pPr>
          </w:p>
          <w:p w14:paraId="28E9BCF4" w14:textId="77777777" w:rsidR="00724A4F" w:rsidRPr="00C615A7" w:rsidRDefault="00724A4F" w:rsidP="00E56522">
            <w:pPr>
              <w:rPr>
                <w:bCs/>
                <w:color w:val="000000"/>
                <w:lang w:val="en-US"/>
              </w:rPr>
            </w:pPr>
            <w:r w:rsidRPr="00C615A7">
              <w:rPr>
                <w:bCs/>
                <w:color w:val="000000"/>
                <w:lang w:val="en-US"/>
              </w:rPr>
              <w:t>When E-R relationships are derived, they may have additional application to support difficult indications (e.g., nosocomial pneumonia) or those in which NI margins are not well defined (e.g., bloodstream infections, osteomyelitis, diabetic foot infections, etc…).</w:t>
            </w:r>
          </w:p>
          <w:p w14:paraId="2A02AA91" w14:textId="77777777" w:rsidR="00724A4F" w:rsidRPr="00C615A7" w:rsidRDefault="00724A4F" w:rsidP="00E56522">
            <w:pPr>
              <w:ind w:left="360"/>
              <w:rPr>
                <w:bCs/>
                <w:color w:val="000000"/>
                <w:lang w:val="en-US"/>
              </w:rPr>
            </w:pPr>
          </w:p>
        </w:tc>
        <w:tc>
          <w:tcPr>
            <w:tcW w:w="0" w:type="auto"/>
            <w:shd w:val="clear" w:color="auto" w:fill="E1E3F2"/>
          </w:tcPr>
          <w:p w14:paraId="435652EB" w14:textId="77777777" w:rsidR="00724A4F" w:rsidRPr="00C615A7" w:rsidRDefault="00724A4F" w:rsidP="00E56522">
            <w:pPr>
              <w:rPr>
                <w:bCs/>
                <w:color w:val="000000"/>
                <w:lang w:val="en-US"/>
              </w:rPr>
            </w:pPr>
            <w:r w:rsidRPr="00C615A7">
              <w:rPr>
                <w:bCs/>
                <w:color w:val="000000"/>
                <w:lang w:val="en-US"/>
              </w:rPr>
              <w:t xml:space="preserve">Consider this additional language particularly for indications where knowledge base is less: “Sponsors are encouraged to consider E-R analyses, and other </w:t>
            </w:r>
            <w:proofErr w:type="spellStart"/>
            <w:r w:rsidRPr="00C615A7">
              <w:rPr>
                <w:bCs/>
                <w:color w:val="000000"/>
                <w:lang w:val="en-US"/>
              </w:rPr>
              <w:t>pharmacometric</w:t>
            </w:r>
            <w:proofErr w:type="spellEnd"/>
            <w:r w:rsidRPr="00C615A7">
              <w:rPr>
                <w:bCs/>
                <w:color w:val="000000"/>
                <w:lang w:val="en-US"/>
              </w:rPr>
              <w:t>-based analyses, for estimation of treatment effect sizes and hence, as a support in selection of non-inferiority margins.”</w:t>
            </w:r>
          </w:p>
        </w:tc>
      </w:tr>
      <w:tr w:rsidR="00724A4F" w14:paraId="5A5E71C6" w14:textId="77777777" w:rsidTr="00724A4F">
        <w:trPr>
          <w:cantSplit/>
        </w:trPr>
        <w:tc>
          <w:tcPr>
            <w:tcW w:w="0" w:type="auto"/>
            <w:shd w:val="clear" w:color="auto" w:fill="E1E3F2"/>
          </w:tcPr>
          <w:p w14:paraId="65C613C3" w14:textId="77777777" w:rsidR="00724A4F" w:rsidRPr="002A1B2B" w:rsidRDefault="00724A4F" w:rsidP="00E56522">
            <w:pPr>
              <w:rPr>
                <w:lang w:val="en-US"/>
              </w:rPr>
            </w:pPr>
            <w:r w:rsidRPr="002A1B2B">
              <w:rPr>
                <w:lang w:val="en-US"/>
              </w:rPr>
              <w:t>520</w:t>
            </w:r>
          </w:p>
        </w:tc>
        <w:tc>
          <w:tcPr>
            <w:tcW w:w="0" w:type="auto"/>
            <w:shd w:val="clear" w:color="auto" w:fill="E1E3F2"/>
          </w:tcPr>
          <w:p w14:paraId="7AF10271" w14:textId="77777777" w:rsidR="00724A4F" w:rsidRPr="002A1B2B" w:rsidRDefault="00724A4F" w:rsidP="00E56522">
            <w:pPr>
              <w:rPr>
                <w:lang w:val="en-US"/>
              </w:rPr>
            </w:pPr>
            <w:r w:rsidRPr="002A1B2B">
              <w:rPr>
                <w:lang w:val="en-US"/>
              </w:rPr>
              <w:t xml:space="preserve">For BL-BLI the concentration of BLI used in susceptibility testing often gets linked with the concentration(s) used to define the PK/PD relationship. A there is currently no mention of susceptibility testing in the </w:t>
            </w:r>
            <w:proofErr w:type="gramStart"/>
            <w:r w:rsidRPr="002A1B2B">
              <w:rPr>
                <w:lang w:val="en-US"/>
              </w:rPr>
              <w:t>document,</w:t>
            </w:r>
            <w:proofErr w:type="gramEnd"/>
            <w:r w:rsidRPr="002A1B2B">
              <w:rPr>
                <w:lang w:val="en-US"/>
              </w:rPr>
              <w:t xml:space="preserve"> we feel it would be helpful to add some clarity around the differences.</w:t>
            </w:r>
          </w:p>
        </w:tc>
        <w:tc>
          <w:tcPr>
            <w:tcW w:w="0" w:type="auto"/>
            <w:shd w:val="clear" w:color="auto" w:fill="E1E3F2"/>
          </w:tcPr>
          <w:p w14:paraId="0AF7AAC1" w14:textId="77777777" w:rsidR="00724A4F" w:rsidRPr="002A1B2B" w:rsidRDefault="00724A4F" w:rsidP="00E56522">
            <w:pPr>
              <w:rPr>
                <w:bCs/>
                <w:lang w:val="en-US"/>
              </w:rPr>
            </w:pPr>
            <w:r w:rsidRPr="002A1B2B">
              <w:rPr>
                <w:lang w:val="en-US"/>
              </w:rPr>
              <w:t>Somewhere in a subsection of 4.6 (at the end of the paragraph beginning on line 529 would make sense), add this text: In addition, t</w:t>
            </w:r>
            <w:r w:rsidRPr="002A1B2B">
              <w:rPr>
                <w:bCs/>
                <w:lang w:val="en-US"/>
              </w:rPr>
              <w:t>he fixed concentration of BLI used in in vitro susceptibility testing does not necessarily relate to target threshold concentrations from PK/PD experiments that describe the PDT.</w:t>
            </w:r>
          </w:p>
        </w:tc>
      </w:tr>
      <w:tr w:rsidR="00724A4F" w14:paraId="1EBE538D" w14:textId="77777777" w:rsidTr="00724A4F">
        <w:trPr>
          <w:cantSplit/>
        </w:trPr>
        <w:tc>
          <w:tcPr>
            <w:tcW w:w="0" w:type="auto"/>
            <w:shd w:val="clear" w:color="auto" w:fill="E1E3F2"/>
          </w:tcPr>
          <w:p w14:paraId="743F9397" w14:textId="77777777" w:rsidR="00724A4F" w:rsidRPr="002A1B2B" w:rsidRDefault="00724A4F" w:rsidP="00E56522">
            <w:pPr>
              <w:rPr>
                <w:lang w:val="en-US"/>
              </w:rPr>
            </w:pPr>
            <w:r w:rsidRPr="002A1B2B">
              <w:rPr>
                <w:lang w:val="en-US"/>
              </w:rPr>
              <w:t>549-551</w:t>
            </w:r>
          </w:p>
        </w:tc>
        <w:tc>
          <w:tcPr>
            <w:tcW w:w="0" w:type="auto"/>
            <w:shd w:val="clear" w:color="auto" w:fill="E1E3F2"/>
          </w:tcPr>
          <w:p w14:paraId="460DFFD1" w14:textId="77777777" w:rsidR="00724A4F" w:rsidRPr="002A1B2B" w:rsidRDefault="00724A4F" w:rsidP="00E56522">
            <w:pPr>
              <w:rPr>
                <w:lang w:val="en-US"/>
              </w:rPr>
            </w:pPr>
            <w:r w:rsidRPr="002A1B2B">
              <w:rPr>
                <w:lang w:val="en-US"/>
              </w:rPr>
              <w:t>There are a couple of sections which highlight that the PK/PD of the BLI needs to be defined for each BL. We suggest consolidating some of this recommendation into one place, and rather than using a specific drug example to make the point, describe the reasons.</w:t>
            </w:r>
          </w:p>
        </w:tc>
        <w:tc>
          <w:tcPr>
            <w:tcW w:w="0" w:type="auto"/>
            <w:shd w:val="clear" w:color="auto" w:fill="E1E3F2"/>
          </w:tcPr>
          <w:p w14:paraId="221BC76D" w14:textId="77777777" w:rsidR="00724A4F" w:rsidRPr="002A1B2B" w:rsidRDefault="00724A4F" w:rsidP="00E56522">
            <w:pPr>
              <w:rPr>
                <w:lang w:val="en-US"/>
              </w:rPr>
            </w:pPr>
            <w:r w:rsidRPr="002A1B2B">
              <w:rPr>
                <w:lang w:val="en-US"/>
              </w:rPr>
              <w:t xml:space="preserve">Amend text as show by </w:t>
            </w:r>
            <w:r w:rsidRPr="002A1B2B">
              <w:rPr>
                <w:u w:val="single"/>
                <w:lang w:val="en-US"/>
              </w:rPr>
              <w:t>underlines</w:t>
            </w:r>
            <w:r w:rsidRPr="002A1B2B">
              <w:rPr>
                <w:lang w:val="en-US"/>
              </w:rPr>
              <w:t xml:space="preserve">: A PK-PD index that expresses the relationship between drug exposures and antibacterial effects in preclinical models should be established for each BLI. The PK-PD index should be established using </w:t>
            </w:r>
            <w:r w:rsidRPr="002A1B2B">
              <w:rPr>
                <w:bCs/>
                <w:u w:val="single"/>
                <w:lang w:val="en-US"/>
              </w:rPr>
              <w:t>bacterial strains that have been characterized for type of beta-lactamases and other relevant resistance mechanisms</w:t>
            </w:r>
            <w:r w:rsidRPr="002A1B2B">
              <w:rPr>
                <w:b/>
                <w:bCs/>
                <w:lang w:val="en-US"/>
              </w:rPr>
              <w:t xml:space="preserve"> </w:t>
            </w:r>
            <w:r w:rsidRPr="002A1B2B">
              <w:rPr>
                <w:lang w:val="en-US"/>
              </w:rPr>
              <w:t xml:space="preserve">to the beta-lactam and/or inhibitor (e.g., permeability-based) </w:t>
            </w:r>
            <w:r w:rsidRPr="002A1B2B">
              <w:rPr>
                <w:bCs/>
                <w:u w:val="single"/>
                <w:lang w:val="en-US"/>
              </w:rPr>
              <w:t>to understand the impact of varying organisms and beta-lactamase types on the PDT for the BLI.</w:t>
            </w:r>
          </w:p>
        </w:tc>
      </w:tr>
      <w:tr w:rsidR="00724A4F" w14:paraId="7304B3A0" w14:textId="77777777" w:rsidTr="00724A4F">
        <w:trPr>
          <w:cantSplit/>
        </w:trPr>
        <w:tc>
          <w:tcPr>
            <w:tcW w:w="0" w:type="auto"/>
            <w:shd w:val="clear" w:color="auto" w:fill="E1E3F2"/>
          </w:tcPr>
          <w:p w14:paraId="06980F7C" w14:textId="77777777" w:rsidR="00724A4F" w:rsidRPr="002A1B2B" w:rsidRDefault="00724A4F" w:rsidP="00373560">
            <w:pPr>
              <w:rPr>
                <w:lang w:val="en-US"/>
              </w:rPr>
            </w:pPr>
            <w:r w:rsidRPr="002A1B2B">
              <w:rPr>
                <w:lang w:val="en-US"/>
              </w:rPr>
              <w:t>552-554</w:t>
            </w:r>
          </w:p>
        </w:tc>
        <w:tc>
          <w:tcPr>
            <w:tcW w:w="0" w:type="auto"/>
            <w:shd w:val="clear" w:color="auto" w:fill="E1E3F2"/>
          </w:tcPr>
          <w:p w14:paraId="1296B18F" w14:textId="77777777" w:rsidR="00724A4F" w:rsidRPr="002A1B2B" w:rsidRDefault="00724A4F" w:rsidP="00373560">
            <w:pPr>
              <w:rPr>
                <w:lang w:val="en-US"/>
              </w:rPr>
            </w:pPr>
            <w:r w:rsidRPr="002A1B2B">
              <w:rPr>
                <w:lang w:val="en-US"/>
              </w:rPr>
              <w:t>The current recommendation is that in non-clinical infection models the BL/BLI should be administered to mimic the anticipated mode(s) of clinical use. We agree, but also note that there are studies used during development of the PK/PD understanding which may not mimic the mode of clinical use, but still have utility and should not be discouraged. Thus we propose a slight modification to the text.</w:t>
            </w:r>
          </w:p>
        </w:tc>
        <w:tc>
          <w:tcPr>
            <w:tcW w:w="0" w:type="auto"/>
            <w:shd w:val="clear" w:color="auto" w:fill="E1E3F2"/>
          </w:tcPr>
          <w:p w14:paraId="3A26868D" w14:textId="77777777" w:rsidR="00724A4F" w:rsidRPr="002A1B2B" w:rsidRDefault="00724A4F" w:rsidP="00373560">
            <w:pPr>
              <w:rPr>
                <w:lang w:val="en-US"/>
              </w:rPr>
            </w:pPr>
            <w:r w:rsidRPr="002A1B2B">
              <w:rPr>
                <w:lang w:val="en-US"/>
              </w:rPr>
              <w:t xml:space="preserve">Amend text as show by </w:t>
            </w:r>
            <w:r w:rsidRPr="002A1B2B">
              <w:rPr>
                <w:u w:val="single"/>
                <w:lang w:val="en-US"/>
              </w:rPr>
              <w:t>underlines</w:t>
            </w:r>
            <w:r w:rsidRPr="002A1B2B">
              <w:rPr>
                <w:lang w:val="en-US"/>
              </w:rPr>
              <w:t xml:space="preserve">: </w:t>
            </w:r>
            <w:r w:rsidRPr="002A1B2B">
              <w:rPr>
                <w:bCs/>
                <w:u w:val="single"/>
                <w:lang w:val="en-US"/>
              </w:rPr>
              <w:t>In establishing the PK-PD index, studies should be included in non-clinical infection models wherein the BL/BLI</w:t>
            </w:r>
            <w:r w:rsidRPr="002A1B2B">
              <w:rPr>
                <w:b/>
                <w:bCs/>
                <w:lang w:val="en-US"/>
              </w:rPr>
              <w:t xml:space="preserve"> </w:t>
            </w:r>
            <w:r w:rsidRPr="002A1B2B">
              <w:rPr>
                <w:lang w:val="en-US"/>
              </w:rPr>
              <w:t>should be administered to mimic the anticipated mode(s) of clinical use……</w:t>
            </w:r>
          </w:p>
        </w:tc>
      </w:tr>
      <w:tr w:rsidR="00724A4F" w14:paraId="2604CDAE" w14:textId="77777777" w:rsidTr="00724A4F">
        <w:trPr>
          <w:cantSplit/>
        </w:trPr>
        <w:tc>
          <w:tcPr>
            <w:tcW w:w="0" w:type="auto"/>
            <w:shd w:val="clear" w:color="auto" w:fill="E1E3F2"/>
          </w:tcPr>
          <w:p w14:paraId="166BEA41" w14:textId="77777777" w:rsidR="00724A4F" w:rsidRPr="002A1B2B" w:rsidRDefault="00724A4F" w:rsidP="00373560">
            <w:pPr>
              <w:rPr>
                <w:lang w:val="en-US"/>
              </w:rPr>
            </w:pPr>
            <w:r w:rsidRPr="002A1B2B">
              <w:rPr>
                <w:lang w:val="en-US"/>
              </w:rPr>
              <w:lastRenderedPageBreak/>
              <w:t>554</w:t>
            </w:r>
          </w:p>
        </w:tc>
        <w:tc>
          <w:tcPr>
            <w:tcW w:w="0" w:type="auto"/>
            <w:shd w:val="clear" w:color="auto" w:fill="E1E3F2"/>
          </w:tcPr>
          <w:p w14:paraId="45066D18" w14:textId="77777777" w:rsidR="00724A4F" w:rsidRPr="002A1B2B" w:rsidRDefault="00724A4F" w:rsidP="00373560">
            <w:pPr>
              <w:rPr>
                <w:lang w:val="en-US"/>
              </w:rPr>
            </w:pPr>
            <w:r w:rsidRPr="002A1B2B">
              <w:rPr>
                <w:lang w:val="en-US"/>
              </w:rPr>
              <w:t>This section currently states the BLI PK parameters of potential interest should be indexed to the potentiated MICs. We believe that this is not always the case, and that the PK/PD index for the BLI should be driven by the data, and if linked to MIC this may or may not be the potentiated MIC. Thus we recommend a slight modification to the wording to allow this flexibility.</w:t>
            </w:r>
          </w:p>
        </w:tc>
        <w:tc>
          <w:tcPr>
            <w:tcW w:w="0" w:type="auto"/>
            <w:shd w:val="clear" w:color="auto" w:fill="E1E3F2"/>
          </w:tcPr>
          <w:p w14:paraId="22941560" w14:textId="77777777" w:rsidR="00724A4F" w:rsidRPr="002A1B2B" w:rsidRDefault="00724A4F" w:rsidP="00373560">
            <w:pPr>
              <w:rPr>
                <w:bCs/>
                <w:lang w:val="en-US"/>
              </w:rPr>
            </w:pPr>
            <w:r w:rsidRPr="002A1B2B">
              <w:rPr>
                <w:lang w:val="en-US"/>
              </w:rPr>
              <w:t xml:space="preserve">Amend text to read: </w:t>
            </w:r>
            <w:r w:rsidRPr="002A1B2B">
              <w:rPr>
                <w:bCs/>
                <w:lang w:val="en-US"/>
              </w:rPr>
              <w:t xml:space="preserve">How the BLI PK parameters of interest (e.g. </w:t>
            </w:r>
            <w:proofErr w:type="spellStart"/>
            <w:r w:rsidRPr="002A1B2B">
              <w:rPr>
                <w:bCs/>
                <w:lang w:val="en-US"/>
              </w:rPr>
              <w:t>C</w:t>
            </w:r>
            <w:r w:rsidRPr="002A1B2B">
              <w:rPr>
                <w:bCs/>
                <w:vertAlign w:val="subscript"/>
                <w:lang w:val="en-US"/>
              </w:rPr>
              <w:t>max</w:t>
            </w:r>
            <w:proofErr w:type="spellEnd"/>
            <w:r w:rsidRPr="002A1B2B">
              <w:rPr>
                <w:bCs/>
                <w:lang w:val="en-US"/>
              </w:rPr>
              <w:t>, AUC, T&gt;threshold) should be indexed to in vitro data should be driven by the data.</w:t>
            </w:r>
          </w:p>
        </w:tc>
      </w:tr>
      <w:tr w:rsidR="00724A4F" w14:paraId="4F6DE922" w14:textId="77777777" w:rsidTr="00724A4F">
        <w:trPr>
          <w:cantSplit/>
        </w:trPr>
        <w:tc>
          <w:tcPr>
            <w:tcW w:w="0" w:type="auto"/>
            <w:shd w:val="clear" w:color="auto" w:fill="E1E3F2"/>
          </w:tcPr>
          <w:p w14:paraId="215362D5" w14:textId="77777777" w:rsidR="00724A4F" w:rsidRPr="002A1B2B" w:rsidRDefault="00724A4F" w:rsidP="00373560">
            <w:pPr>
              <w:rPr>
                <w:lang w:val="en-US"/>
              </w:rPr>
            </w:pPr>
            <w:r w:rsidRPr="002A1B2B">
              <w:rPr>
                <w:lang w:val="en-US"/>
              </w:rPr>
              <w:t>567-572</w:t>
            </w:r>
          </w:p>
        </w:tc>
        <w:tc>
          <w:tcPr>
            <w:tcW w:w="0" w:type="auto"/>
            <w:shd w:val="clear" w:color="auto" w:fill="E1E3F2"/>
          </w:tcPr>
          <w:p w14:paraId="170337F5" w14:textId="77777777" w:rsidR="00724A4F" w:rsidRPr="002A1B2B" w:rsidRDefault="00724A4F" w:rsidP="00373560">
            <w:pPr>
              <w:rPr>
                <w:lang w:val="en-US"/>
              </w:rPr>
            </w:pPr>
            <w:r w:rsidRPr="002A1B2B">
              <w:rPr>
                <w:lang w:val="en-US"/>
              </w:rPr>
              <w:t xml:space="preserve">As written this section currently states that if the dose adjustments for the BL do not match those needed for the BLI, if presented in a fixed dose combination this will preclude use below a specified creatinine clearance. We feel this text could be interpreted to be restrictive, and as long as both agents remain within the therapeutic window, guidance on dosing could be given even if it means a change from a currently labeled dose adjustment. Thus we propose a very minor modification to the current language on line 570-572 to change “will preclude” to the </w:t>
            </w:r>
            <w:r w:rsidRPr="002A1B2B">
              <w:rPr>
                <w:u w:val="single"/>
                <w:lang w:val="en-US"/>
              </w:rPr>
              <w:t>underlined</w:t>
            </w:r>
            <w:r w:rsidRPr="002A1B2B">
              <w:rPr>
                <w:lang w:val="en-US"/>
              </w:rPr>
              <w:t xml:space="preserve"> text.</w:t>
            </w:r>
          </w:p>
        </w:tc>
        <w:tc>
          <w:tcPr>
            <w:tcW w:w="0" w:type="auto"/>
            <w:shd w:val="clear" w:color="auto" w:fill="E1E3F2"/>
          </w:tcPr>
          <w:p w14:paraId="71867CC8" w14:textId="77777777" w:rsidR="00724A4F" w:rsidRPr="002A1B2B" w:rsidRDefault="00724A4F" w:rsidP="00373560">
            <w:pPr>
              <w:rPr>
                <w:b/>
                <w:bCs/>
                <w:lang w:val="en-US"/>
              </w:rPr>
            </w:pPr>
            <w:r w:rsidRPr="002A1B2B">
              <w:rPr>
                <w:lang w:val="en-US"/>
              </w:rPr>
              <w:t xml:space="preserve">Amend text as show by </w:t>
            </w:r>
            <w:r w:rsidRPr="002A1B2B">
              <w:rPr>
                <w:u w:val="single"/>
                <w:lang w:val="en-US"/>
              </w:rPr>
              <w:t>underlines</w:t>
            </w:r>
            <w:r w:rsidRPr="002A1B2B">
              <w:rPr>
                <w:lang w:val="en-US"/>
              </w:rPr>
              <w:t xml:space="preserve">: In such instances, if the BL and BLI are presented for clinical use only in a fixed dose combination product the results </w:t>
            </w:r>
            <w:r w:rsidRPr="002A1B2B">
              <w:rPr>
                <w:u w:val="single"/>
                <w:lang w:val="en-US"/>
              </w:rPr>
              <w:t>may preclude</w:t>
            </w:r>
            <w:r w:rsidRPr="002A1B2B">
              <w:rPr>
                <w:lang w:val="en-US"/>
              </w:rPr>
              <w:t xml:space="preserve"> its use below a specified creatinine clearance value.</w:t>
            </w:r>
          </w:p>
        </w:tc>
      </w:tr>
      <w:tr w:rsidR="00724A4F" w14:paraId="556FD40E" w14:textId="77777777" w:rsidTr="00724A4F">
        <w:trPr>
          <w:cantSplit/>
        </w:trPr>
        <w:tc>
          <w:tcPr>
            <w:tcW w:w="0" w:type="auto"/>
            <w:shd w:val="clear" w:color="auto" w:fill="E1E3F2"/>
          </w:tcPr>
          <w:p w14:paraId="4695AD85" w14:textId="77777777" w:rsidR="00724A4F" w:rsidRPr="002A1B2B" w:rsidRDefault="00724A4F" w:rsidP="00373560">
            <w:pPr>
              <w:rPr>
                <w:lang w:val="en-US"/>
              </w:rPr>
            </w:pPr>
            <w:r w:rsidRPr="002A1B2B">
              <w:rPr>
                <w:lang w:val="en-US"/>
              </w:rPr>
              <w:t>574-581</w:t>
            </w:r>
          </w:p>
        </w:tc>
        <w:tc>
          <w:tcPr>
            <w:tcW w:w="0" w:type="auto"/>
            <w:shd w:val="clear" w:color="auto" w:fill="E1E3F2"/>
          </w:tcPr>
          <w:p w14:paraId="772E9DEE" w14:textId="77777777" w:rsidR="00724A4F" w:rsidRPr="002A1B2B" w:rsidRDefault="00724A4F" w:rsidP="00373560">
            <w:pPr>
              <w:rPr>
                <w:lang w:val="en-US"/>
              </w:rPr>
            </w:pPr>
            <w:r w:rsidRPr="002A1B2B">
              <w:rPr>
                <w:lang w:val="en-US"/>
              </w:rPr>
              <w:t>It is acknowledged in the guidance document that limited clinical data may be available in patients with pathogens that are BL-R BL/BLI-S.  Robust non-clinical data which includes confirmation of activity across multiple strains and enzyme types could support extrapolation to other pathogens.</w:t>
            </w:r>
          </w:p>
        </w:tc>
        <w:tc>
          <w:tcPr>
            <w:tcW w:w="0" w:type="auto"/>
            <w:shd w:val="clear" w:color="auto" w:fill="E1E3F2"/>
          </w:tcPr>
          <w:p w14:paraId="526DB2C3" w14:textId="77777777" w:rsidR="00724A4F" w:rsidRPr="002A1B2B" w:rsidRDefault="00724A4F" w:rsidP="00373560">
            <w:pPr>
              <w:rPr>
                <w:lang w:val="en-US"/>
              </w:rPr>
            </w:pPr>
            <w:r w:rsidRPr="002A1B2B">
              <w:rPr>
                <w:lang w:val="en-US"/>
              </w:rPr>
              <w:t xml:space="preserve">Add a new final sentence: “In addition and where robust preclinical data are available against specific species and enzyme types, it may be appropriate that the </w:t>
            </w:r>
            <w:proofErr w:type="spellStart"/>
            <w:r w:rsidRPr="002A1B2B">
              <w:rPr>
                <w:lang w:val="en-US"/>
              </w:rPr>
              <w:t>SmPC</w:t>
            </w:r>
            <w:proofErr w:type="spellEnd"/>
            <w:r w:rsidRPr="002A1B2B">
              <w:rPr>
                <w:lang w:val="en-US"/>
              </w:rPr>
              <w:t xml:space="preserve"> reflect the potential utility of the combination by noting such activity data.</w:t>
            </w:r>
          </w:p>
        </w:tc>
      </w:tr>
      <w:tr w:rsidR="00724A4F" w14:paraId="263DD5E2" w14:textId="77777777" w:rsidTr="00724A4F">
        <w:trPr>
          <w:cantSplit/>
        </w:trPr>
        <w:tc>
          <w:tcPr>
            <w:tcW w:w="0" w:type="auto"/>
            <w:shd w:val="clear" w:color="auto" w:fill="E1E3F2"/>
          </w:tcPr>
          <w:p w14:paraId="3E270889" w14:textId="77777777" w:rsidR="00724A4F" w:rsidRPr="00EB075E" w:rsidRDefault="00724A4F" w:rsidP="007854C8">
            <w:r w:rsidRPr="00EB075E">
              <w:t>602</w:t>
            </w:r>
          </w:p>
        </w:tc>
        <w:tc>
          <w:tcPr>
            <w:tcW w:w="0" w:type="auto"/>
            <w:shd w:val="clear" w:color="auto" w:fill="E1E3F2"/>
          </w:tcPr>
          <w:p w14:paraId="7A7F3560" w14:textId="77777777" w:rsidR="00724A4F" w:rsidRPr="00EB075E" w:rsidRDefault="00724A4F" w:rsidP="007854C8">
            <w:r w:rsidRPr="00EB075E">
              <w:t>We would suggest including the food-drug interaction as well.</w:t>
            </w:r>
          </w:p>
        </w:tc>
        <w:tc>
          <w:tcPr>
            <w:tcW w:w="0" w:type="auto"/>
            <w:shd w:val="clear" w:color="auto" w:fill="E1E3F2"/>
          </w:tcPr>
          <w:p w14:paraId="7D2F9A42" w14:textId="77777777" w:rsidR="00724A4F" w:rsidRPr="00EB075E" w:rsidRDefault="00724A4F" w:rsidP="00EB075E">
            <w:r>
              <w:t>Suggest rewording to “... food-drug and drug-drug...”</w:t>
            </w:r>
          </w:p>
        </w:tc>
      </w:tr>
      <w:tr w:rsidR="00724A4F" w14:paraId="16273938" w14:textId="77777777" w:rsidTr="00724A4F">
        <w:trPr>
          <w:cantSplit/>
        </w:trPr>
        <w:tc>
          <w:tcPr>
            <w:tcW w:w="0" w:type="auto"/>
            <w:shd w:val="clear" w:color="auto" w:fill="E1E3F2"/>
          </w:tcPr>
          <w:p w14:paraId="2D42F4FA" w14:textId="77777777" w:rsidR="00724A4F" w:rsidRPr="002A1B2B" w:rsidRDefault="00724A4F" w:rsidP="00373560">
            <w:pPr>
              <w:rPr>
                <w:lang w:val="en-US"/>
              </w:rPr>
            </w:pPr>
            <w:r w:rsidRPr="002A1B2B">
              <w:rPr>
                <w:lang w:val="en-US"/>
              </w:rPr>
              <w:lastRenderedPageBreak/>
              <w:t>595-607 (list of uses of PK-PD-</w:t>
            </w:r>
          </w:p>
        </w:tc>
        <w:tc>
          <w:tcPr>
            <w:tcW w:w="0" w:type="auto"/>
            <w:shd w:val="clear" w:color="auto" w:fill="E1E3F2"/>
          </w:tcPr>
          <w:p w14:paraId="7CBCE54C" w14:textId="77777777" w:rsidR="00724A4F" w:rsidRPr="002A1B2B" w:rsidRDefault="00724A4F" w:rsidP="00373560">
            <w:pPr>
              <w:rPr>
                <w:lang w:val="en-US"/>
              </w:rPr>
            </w:pPr>
            <w:r w:rsidRPr="002A1B2B">
              <w:rPr>
                <w:lang w:val="en-US"/>
              </w:rPr>
              <w:t>PK-PD can support various types of pooling of data</w:t>
            </w:r>
          </w:p>
        </w:tc>
        <w:tc>
          <w:tcPr>
            <w:tcW w:w="0" w:type="auto"/>
            <w:shd w:val="clear" w:color="auto" w:fill="E1E3F2"/>
          </w:tcPr>
          <w:p w14:paraId="75B58393" w14:textId="77777777" w:rsidR="00724A4F" w:rsidRPr="002A1B2B" w:rsidRDefault="00724A4F" w:rsidP="00373560">
            <w:pPr>
              <w:rPr>
                <w:lang w:val="en-US"/>
              </w:rPr>
            </w:pPr>
            <w:r w:rsidRPr="002A1B2B">
              <w:rPr>
                <w:lang w:val="en-US"/>
              </w:rPr>
              <w:t xml:space="preserve">Add “support for pooling of data across body sites” as a use of PK-PD: </w:t>
            </w:r>
          </w:p>
          <w:p w14:paraId="4F859F0E" w14:textId="77777777" w:rsidR="00724A4F" w:rsidRPr="002A1B2B" w:rsidRDefault="00724A4F" w:rsidP="00373560">
            <w:pPr>
              <w:pStyle w:val="ColorfulList-Accent11"/>
              <w:numPr>
                <w:ilvl w:val="0"/>
                <w:numId w:val="45"/>
              </w:numPr>
              <w:ind w:left="360"/>
              <w:rPr>
                <w:rFonts w:ascii="Verdana" w:hAnsi="Verdana"/>
                <w:sz w:val="18"/>
                <w:szCs w:val="18"/>
              </w:rPr>
            </w:pPr>
            <w:r w:rsidRPr="002A1B2B">
              <w:rPr>
                <w:rFonts w:ascii="Verdana" w:hAnsi="Verdana"/>
                <w:sz w:val="18"/>
                <w:szCs w:val="18"/>
              </w:rPr>
              <w:t>Reference EMA concept paper on extrapolation</w:t>
            </w:r>
          </w:p>
          <w:p w14:paraId="5433B147" w14:textId="77777777" w:rsidR="00724A4F" w:rsidRPr="002A1B2B" w:rsidRDefault="00724A4F" w:rsidP="00373560">
            <w:pPr>
              <w:pStyle w:val="ColorfulList-Accent11"/>
              <w:numPr>
                <w:ilvl w:val="0"/>
                <w:numId w:val="45"/>
              </w:numPr>
              <w:ind w:left="360"/>
              <w:rPr>
                <w:rFonts w:ascii="Verdana" w:hAnsi="Verdana"/>
                <w:sz w:val="18"/>
                <w:szCs w:val="18"/>
              </w:rPr>
            </w:pPr>
            <w:r w:rsidRPr="002A1B2B">
              <w:rPr>
                <w:rFonts w:ascii="Verdana" w:hAnsi="Verdana"/>
                <w:sz w:val="18"/>
                <w:szCs w:val="18"/>
              </w:rPr>
              <w:t>Reference ideas from Adaptive Pathways</w:t>
            </w:r>
          </w:p>
          <w:p w14:paraId="5E24DEC9" w14:textId="77777777" w:rsidR="00724A4F" w:rsidRPr="002A1B2B" w:rsidRDefault="00724A4F" w:rsidP="00373560">
            <w:pPr>
              <w:pStyle w:val="ColorfulList-Accent11"/>
              <w:numPr>
                <w:ilvl w:val="0"/>
                <w:numId w:val="45"/>
              </w:numPr>
              <w:ind w:left="360"/>
              <w:rPr>
                <w:rFonts w:ascii="Verdana" w:hAnsi="Verdana"/>
                <w:sz w:val="18"/>
                <w:szCs w:val="18"/>
              </w:rPr>
            </w:pPr>
            <w:r w:rsidRPr="002A1B2B">
              <w:rPr>
                <w:rFonts w:ascii="Verdana" w:hAnsi="Verdana"/>
                <w:sz w:val="18"/>
                <w:szCs w:val="18"/>
              </w:rPr>
              <w:t xml:space="preserve">“… </w:t>
            </w:r>
            <w:proofErr w:type="gramStart"/>
            <w:r w:rsidRPr="002A1B2B">
              <w:rPr>
                <w:rFonts w:ascii="Verdana" w:hAnsi="Verdana"/>
                <w:sz w:val="18"/>
                <w:szCs w:val="18"/>
              </w:rPr>
              <w:t>balancing</w:t>
            </w:r>
            <w:proofErr w:type="gramEnd"/>
            <w:r w:rsidRPr="002A1B2B">
              <w:rPr>
                <w:rFonts w:ascii="Verdana" w:hAnsi="Verdana"/>
                <w:sz w:val="18"/>
                <w:szCs w:val="18"/>
              </w:rPr>
              <w:t xml:space="preserve"> timely access for patients with the need to assess and to provide adequate evolving information on benefits &amp; harms…” (</w:t>
            </w:r>
            <w:proofErr w:type="spellStart"/>
            <w:r w:rsidRPr="002A1B2B">
              <w:rPr>
                <w:rFonts w:ascii="Verdana" w:hAnsi="Verdana"/>
                <w:sz w:val="18"/>
                <w:szCs w:val="18"/>
              </w:rPr>
              <w:t>Eichler</w:t>
            </w:r>
            <w:proofErr w:type="spellEnd"/>
            <w:r w:rsidRPr="002A1B2B">
              <w:rPr>
                <w:rFonts w:ascii="Verdana" w:hAnsi="Verdana"/>
                <w:sz w:val="18"/>
                <w:szCs w:val="18"/>
              </w:rPr>
              <w:t xml:space="preserve"> 2015 Clin Pharm </w:t>
            </w:r>
            <w:proofErr w:type="spellStart"/>
            <w:r w:rsidRPr="002A1B2B">
              <w:rPr>
                <w:rFonts w:ascii="Verdana" w:hAnsi="Verdana"/>
                <w:sz w:val="18"/>
                <w:szCs w:val="18"/>
              </w:rPr>
              <w:t>Ther</w:t>
            </w:r>
            <w:proofErr w:type="spellEnd"/>
            <w:r w:rsidRPr="002A1B2B">
              <w:rPr>
                <w:rFonts w:ascii="Verdana" w:hAnsi="Verdana"/>
                <w:sz w:val="18"/>
                <w:szCs w:val="18"/>
              </w:rPr>
              <w:t>)</w:t>
            </w:r>
          </w:p>
          <w:p w14:paraId="4783B7BC" w14:textId="77777777" w:rsidR="00724A4F" w:rsidRPr="002A1B2B" w:rsidRDefault="00724A4F" w:rsidP="00373560">
            <w:pPr>
              <w:pStyle w:val="ColorfulList-Accent11"/>
              <w:numPr>
                <w:ilvl w:val="0"/>
                <w:numId w:val="45"/>
              </w:numPr>
              <w:ind w:left="360"/>
              <w:rPr>
                <w:rFonts w:ascii="Verdana" w:hAnsi="Verdana"/>
                <w:sz w:val="18"/>
                <w:szCs w:val="18"/>
              </w:rPr>
            </w:pPr>
            <w:r w:rsidRPr="002A1B2B">
              <w:rPr>
                <w:rFonts w:ascii="Verdana" w:hAnsi="Verdana"/>
                <w:sz w:val="18"/>
                <w:szCs w:val="18"/>
              </w:rPr>
              <w:t>Expanded notes could discuss importance of ideas such as</w:t>
            </w:r>
          </w:p>
          <w:p w14:paraId="232C84A9" w14:textId="77777777" w:rsidR="00724A4F" w:rsidRPr="002A1B2B" w:rsidRDefault="00724A4F" w:rsidP="00373560">
            <w:pPr>
              <w:pStyle w:val="ColorfulList-Accent11"/>
              <w:numPr>
                <w:ilvl w:val="1"/>
                <w:numId w:val="45"/>
              </w:numPr>
              <w:ind w:left="720"/>
              <w:rPr>
                <w:rFonts w:ascii="Verdana" w:hAnsi="Verdana"/>
                <w:sz w:val="18"/>
                <w:szCs w:val="18"/>
              </w:rPr>
            </w:pPr>
            <w:r w:rsidRPr="002A1B2B">
              <w:rPr>
                <w:rFonts w:ascii="Verdana" w:hAnsi="Verdana"/>
                <w:sz w:val="18"/>
                <w:szCs w:val="18"/>
              </w:rPr>
              <w:t xml:space="preserve">Analyses using data in which relative human/animal model exposures in plasma and target tissues are considered and </w:t>
            </w:r>
          </w:p>
          <w:p w14:paraId="7DEA074E" w14:textId="77777777" w:rsidR="00724A4F" w:rsidRPr="002A1B2B" w:rsidRDefault="00724A4F" w:rsidP="00373560">
            <w:pPr>
              <w:pStyle w:val="ColorfulList-Accent11"/>
              <w:numPr>
                <w:ilvl w:val="1"/>
                <w:numId w:val="45"/>
              </w:numPr>
              <w:ind w:left="720"/>
              <w:rPr>
                <w:rFonts w:ascii="Verdana" w:hAnsi="Verdana"/>
                <w:sz w:val="18"/>
                <w:szCs w:val="18"/>
              </w:rPr>
            </w:pPr>
            <w:r w:rsidRPr="002A1B2B">
              <w:rPr>
                <w:rFonts w:ascii="Verdana" w:hAnsi="Verdana"/>
                <w:sz w:val="18"/>
                <w:szCs w:val="18"/>
              </w:rPr>
              <w:t>Study of (a variety of) relevant pathogens in infection models at those sites</w:t>
            </w:r>
          </w:p>
        </w:tc>
      </w:tr>
      <w:tr w:rsidR="00724A4F" w14:paraId="581C1BBD" w14:textId="77777777" w:rsidTr="00724A4F">
        <w:trPr>
          <w:cantSplit/>
        </w:trPr>
        <w:tc>
          <w:tcPr>
            <w:tcW w:w="0" w:type="auto"/>
            <w:shd w:val="clear" w:color="auto" w:fill="E1E3F2"/>
          </w:tcPr>
          <w:p w14:paraId="79CAD2D0" w14:textId="77777777" w:rsidR="00724A4F" w:rsidRPr="002A1B2B" w:rsidRDefault="00724A4F" w:rsidP="00373560">
            <w:pPr>
              <w:rPr>
                <w:lang w:val="en-US"/>
              </w:rPr>
            </w:pPr>
            <w:r w:rsidRPr="002A1B2B">
              <w:rPr>
                <w:lang w:val="en-US"/>
              </w:rPr>
              <w:t>595-607</w:t>
            </w:r>
          </w:p>
        </w:tc>
        <w:tc>
          <w:tcPr>
            <w:tcW w:w="0" w:type="auto"/>
            <w:shd w:val="clear" w:color="auto" w:fill="E1E3F2"/>
          </w:tcPr>
          <w:p w14:paraId="75065B9D" w14:textId="77777777" w:rsidR="00724A4F" w:rsidRPr="002A1B2B" w:rsidRDefault="00724A4F" w:rsidP="00373560">
            <w:pPr>
              <w:rPr>
                <w:lang w:val="en-US"/>
              </w:rPr>
            </w:pPr>
            <w:r w:rsidRPr="002A1B2B">
              <w:rPr>
                <w:lang w:val="en-US"/>
              </w:rPr>
              <w:t>Obtaining clinical efficacy data in children is difficult in general and will be exceptionally difficult in settings where only limited clinical data can be produced even in adults.</w:t>
            </w:r>
          </w:p>
        </w:tc>
        <w:tc>
          <w:tcPr>
            <w:tcW w:w="0" w:type="auto"/>
            <w:shd w:val="clear" w:color="auto" w:fill="E1E3F2"/>
          </w:tcPr>
          <w:p w14:paraId="0FF57F2A" w14:textId="77777777" w:rsidR="00724A4F" w:rsidRPr="002A1B2B" w:rsidRDefault="00724A4F" w:rsidP="00373560">
            <w:pPr>
              <w:rPr>
                <w:lang w:val="en-US"/>
              </w:rPr>
            </w:pPr>
            <w:r w:rsidRPr="002A1B2B">
              <w:rPr>
                <w:lang w:val="en-US"/>
              </w:rPr>
              <w:t xml:space="preserve">Explicitly recognize in the document that the primary goal of the pediatric development program is to generate data defining age-appropriate dosing regimens that generate appropriate PK. </w:t>
            </w:r>
          </w:p>
        </w:tc>
      </w:tr>
      <w:tr w:rsidR="00724A4F" w14:paraId="25DF5A73" w14:textId="77777777" w:rsidTr="00724A4F">
        <w:trPr>
          <w:cantSplit/>
        </w:trPr>
        <w:tc>
          <w:tcPr>
            <w:tcW w:w="0" w:type="auto"/>
            <w:shd w:val="clear" w:color="auto" w:fill="E1E3F2"/>
          </w:tcPr>
          <w:p w14:paraId="49610551" w14:textId="77777777" w:rsidR="00724A4F" w:rsidRPr="002A1B2B" w:rsidRDefault="00724A4F" w:rsidP="00373560">
            <w:pPr>
              <w:rPr>
                <w:lang w:val="en-US"/>
              </w:rPr>
            </w:pPr>
            <w:r w:rsidRPr="002A1B2B">
              <w:rPr>
                <w:lang w:val="en-US"/>
              </w:rPr>
              <w:t>595-607</w:t>
            </w:r>
          </w:p>
        </w:tc>
        <w:tc>
          <w:tcPr>
            <w:tcW w:w="0" w:type="auto"/>
            <w:shd w:val="clear" w:color="auto" w:fill="E1E3F2"/>
          </w:tcPr>
          <w:p w14:paraId="2A15BE3B" w14:textId="77777777" w:rsidR="00724A4F" w:rsidRPr="002A1B2B" w:rsidRDefault="00724A4F" w:rsidP="00373560">
            <w:pPr>
              <w:rPr>
                <w:lang w:val="en-US"/>
              </w:rPr>
            </w:pPr>
            <w:r w:rsidRPr="002A1B2B">
              <w:rPr>
                <w:lang w:val="en-US"/>
              </w:rPr>
              <w:t>Just as for dose selection, PK-PD should be expected to provide most of the evidence for selection of the interpretive breakpoint</w:t>
            </w:r>
          </w:p>
          <w:p w14:paraId="1F2FB40E" w14:textId="77777777" w:rsidR="00724A4F" w:rsidRPr="002A1B2B" w:rsidRDefault="00724A4F" w:rsidP="00373560">
            <w:pPr>
              <w:rPr>
                <w:lang w:val="en-US"/>
              </w:rPr>
            </w:pPr>
          </w:p>
          <w:p w14:paraId="041B2FAB" w14:textId="77777777" w:rsidR="00724A4F" w:rsidRPr="002A1B2B" w:rsidRDefault="00724A4F" w:rsidP="00373560">
            <w:pPr>
              <w:rPr>
                <w:lang w:val="en-US"/>
              </w:rPr>
            </w:pPr>
            <w:r w:rsidRPr="002A1B2B">
              <w:rPr>
                <w:lang w:val="en-US"/>
              </w:rPr>
              <w:t>Failing to follow this approach will lead to developers studying the least possible dose of their agent – there is no incentive to studying maximal doses as the breakpoints won’t be set to take advantage of this work</w:t>
            </w:r>
          </w:p>
        </w:tc>
        <w:tc>
          <w:tcPr>
            <w:tcW w:w="0" w:type="auto"/>
            <w:shd w:val="clear" w:color="auto" w:fill="E1E3F2"/>
          </w:tcPr>
          <w:p w14:paraId="2200578A" w14:textId="77777777" w:rsidR="00724A4F" w:rsidRPr="002A1B2B" w:rsidRDefault="00724A4F" w:rsidP="00373560">
            <w:pPr>
              <w:rPr>
                <w:lang w:val="en-US"/>
              </w:rPr>
            </w:pPr>
            <w:r w:rsidRPr="002A1B2B">
              <w:rPr>
                <w:lang w:val="en-US"/>
              </w:rPr>
              <w:t>Add “support for selection of interpretive breakpoints” as a use of PK-PD.</w:t>
            </w:r>
          </w:p>
          <w:p w14:paraId="022B0741" w14:textId="77777777" w:rsidR="00724A4F" w:rsidRPr="002A1B2B" w:rsidRDefault="00724A4F" w:rsidP="00373560">
            <w:pPr>
              <w:pStyle w:val="ColorfulList-Accent11"/>
              <w:numPr>
                <w:ilvl w:val="0"/>
                <w:numId w:val="46"/>
              </w:numPr>
              <w:ind w:left="360"/>
              <w:rPr>
                <w:rFonts w:ascii="Verdana" w:hAnsi="Verdana"/>
                <w:sz w:val="18"/>
                <w:szCs w:val="18"/>
              </w:rPr>
            </w:pPr>
            <w:r w:rsidRPr="002A1B2B">
              <w:rPr>
                <w:rFonts w:ascii="Verdana" w:hAnsi="Verdana"/>
                <w:sz w:val="18"/>
                <w:szCs w:val="18"/>
              </w:rPr>
              <w:t>Guidance should recognize that high MIC isolates are an area where only limited clinical data can be generated</w:t>
            </w:r>
          </w:p>
          <w:p w14:paraId="47C1EBFB" w14:textId="77777777" w:rsidR="00724A4F" w:rsidRPr="002A1B2B" w:rsidRDefault="00724A4F" w:rsidP="00373560">
            <w:pPr>
              <w:pStyle w:val="ColorfulList-Accent11"/>
              <w:numPr>
                <w:ilvl w:val="0"/>
                <w:numId w:val="46"/>
              </w:numPr>
              <w:ind w:left="360"/>
              <w:rPr>
                <w:rFonts w:ascii="Verdana" w:hAnsi="Verdana"/>
                <w:sz w:val="18"/>
                <w:szCs w:val="18"/>
              </w:rPr>
            </w:pPr>
            <w:r w:rsidRPr="002A1B2B">
              <w:rPr>
                <w:rFonts w:ascii="Verdana" w:hAnsi="Verdana"/>
                <w:sz w:val="18"/>
                <w:szCs w:val="18"/>
              </w:rPr>
              <w:t xml:space="preserve">Hence, guidance should state that PK-PD will often need to be used to set breakpoints at concentrations for which clinical data are absent: </w:t>
            </w:r>
          </w:p>
          <w:p w14:paraId="7586CBD5" w14:textId="77777777" w:rsidR="00724A4F" w:rsidRPr="002A1B2B" w:rsidRDefault="00724A4F" w:rsidP="00373560">
            <w:pPr>
              <w:pStyle w:val="ColorfulList-Accent11"/>
              <w:numPr>
                <w:ilvl w:val="1"/>
                <w:numId w:val="46"/>
              </w:numPr>
              <w:ind w:left="720"/>
              <w:rPr>
                <w:rFonts w:ascii="Verdana" w:hAnsi="Verdana"/>
                <w:sz w:val="18"/>
                <w:szCs w:val="18"/>
              </w:rPr>
            </w:pPr>
            <w:r w:rsidRPr="002A1B2B">
              <w:rPr>
                <w:rFonts w:ascii="Verdana" w:hAnsi="Verdana"/>
                <w:sz w:val="18"/>
                <w:szCs w:val="18"/>
              </w:rPr>
              <w:t xml:space="preserve">This is the pattern of an agent with limited pre-existing resistance. We would hope this is a common situation and be pleased when we see it! </w:t>
            </w:r>
          </w:p>
          <w:p w14:paraId="4F469E71" w14:textId="77777777" w:rsidR="00724A4F" w:rsidRPr="002A1B2B" w:rsidRDefault="00724A4F" w:rsidP="00373560">
            <w:pPr>
              <w:pStyle w:val="ColorfulList-Accent11"/>
              <w:numPr>
                <w:ilvl w:val="1"/>
                <w:numId w:val="46"/>
              </w:numPr>
              <w:ind w:left="720"/>
              <w:rPr>
                <w:rFonts w:ascii="Verdana" w:hAnsi="Verdana"/>
                <w:sz w:val="18"/>
                <w:szCs w:val="18"/>
              </w:rPr>
            </w:pPr>
            <w:r w:rsidRPr="002A1B2B">
              <w:rPr>
                <w:rFonts w:ascii="Verdana" w:hAnsi="Verdana"/>
                <w:sz w:val="18"/>
                <w:szCs w:val="18"/>
              </w:rPr>
              <w:t xml:space="preserve">Limiting breakpoints to the highest observed MICs is inappropriate </w:t>
            </w:r>
          </w:p>
          <w:p w14:paraId="63393CD3" w14:textId="77777777" w:rsidR="00724A4F" w:rsidRPr="002A1B2B" w:rsidRDefault="00724A4F" w:rsidP="00373560">
            <w:pPr>
              <w:pStyle w:val="ColorfulList-Accent11"/>
              <w:numPr>
                <w:ilvl w:val="1"/>
                <w:numId w:val="46"/>
              </w:numPr>
              <w:ind w:left="720"/>
              <w:rPr>
                <w:rFonts w:ascii="Verdana" w:hAnsi="Verdana"/>
                <w:sz w:val="18"/>
                <w:szCs w:val="18"/>
              </w:rPr>
            </w:pPr>
            <w:r w:rsidRPr="002A1B2B">
              <w:rPr>
                <w:rFonts w:ascii="Verdana" w:hAnsi="Verdana"/>
                <w:color w:val="000000"/>
                <w:sz w:val="18"/>
                <w:szCs w:val="18"/>
                <w:lang w:val="sv-SE"/>
              </w:rPr>
              <w:t>For the few pathogens at the higher end of the frequency distribution, p</w:t>
            </w:r>
            <w:proofErr w:type="spellStart"/>
            <w:r w:rsidRPr="002A1B2B">
              <w:rPr>
                <w:rFonts w:ascii="Verdana" w:hAnsi="Verdana"/>
                <w:color w:val="000000"/>
                <w:sz w:val="18"/>
                <w:szCs w:val="18"/>
              </w:rPr>
              <w:t>reclinical</w:t>
            </w:r>
            <w:proofErr w:type="spellEnd"/>
            <w:r w:rsidRPr="002A1B2B">
              <w:rPr>
                <w:rFonts w:ascii="Verdana" w:hAnsi="Verdana"/>
                <w:color w:val="000000"/>
                <w:sz w:val="18"/>
                <w:szCs w:val="18"/>
              </w:rPr>
              <w:t xml:space="preserve"> experiments </w:t>
            </w:r>
            <w:r w:rsidRPr="002A1B2B">
              <w:rPr>
                <w:rFonts w:ascii="Verdana" w:hAnsi="Verdana"/>
                <w:color w:val="000000"/>
                <w:sz w:val="18"/>
                <w:szCs w:val="18"/>
                <w:lang w:val="sv-SE"/>
              </w:rPr>
              <w:t xml:space="preserve">can be used to </w:t>
            </w:r>
            <w:r w:rsidRPr="002A1B2B">
              <w:rPr>
                <w:rFonts w:ascii="Verdana" w:hAnsi="Verdana"/>
                <w:sz w:val="18"/>
                <w:szCs w:val="18"/>
              </w:rPr>
              <w:t>generate stronger data than can be obtained from clinical trials.</w:t>
            </w:r>
          </w:p>
        </w:tc>
      </w:tr>
      <w:tr w:rsidR="00724A4F" w14:paraId="4C09793D" w14:textId="77777777" w:rsidTr="00724A4F">
        <w:trPr>
          <w:cantSplit/>
        </w:trPr>
        <w:tc>
          <w:tcPr>
            <w:tcW w:w="0" w:type="auto"/>
            <w:shd w:val="clear" w:color="auto" w:fill="E1E3F2"/>
          </w:tcPr>
          <w:p w14:paraId="049DA18F" w14:textId="77777777" w:rsidR="00724A4F" w:rsidRPr="002A1B2B" w:rsidRDefault="00724A4F" w:rsidP="00373560">
            <w:pPr>
              <w:rPr>
                <w:lang w:val="en-US"/>
              </w:rPr>
            </w:pPr>
            <w:r w:rsidRPr="002A1B2B">
              <w:rPr>
                <w:lang w:val="en-US"/>
              </w:rPr>
              <w:lastRenderedPageBreak/>
              <w:t>595-607</w:t>
            </w:r>
          </w:p>
        </w:tc>
        <w:tc>
          <w:tcPr>
            <w:tcW w:w="0" w:type="auto"/>
            <w:shd w:val="clear" w:color="auto" w:fill="E1E3F2"/>
          </w:tcPr>
          <w:p w14:paraId="2E4B8BC5" w14:textId="77777777" w:rsidR="00724A4F" w:rsidRDefault="00724A4F" w:rsidP="00373560">
            <w:pPr>
              <w:rPr>
                <w:lang w:val="en-US"/>
              </w:rPr>
            </w:pPr>
            <w:r w:rsidRPr="002A1B2B">
              <w:rPr>
                <w:lang w:val="en-US"/>
              </w:rPr>
              <w:t>Recognizing all the limitations noted above about body site penetration, there are times when a clinician may need to consider use of a new agent for a patient with an infection at an as yet unstudied body site. In such cases, having even a sense of low, medium or high penetration relative to plasma can be invaluable.</w:t>
            </w:r>
          </w:p>
          <w:p w14:paraId="233DCD79" w14:textId="77777777" w:rsidR="00724A4F" w:rsidRPr="002A1B2B" w:rsidRDefault="00724A4F" w:rsidP="00373560">
            <w:pPr>
              <w:rPr>
                <w:lang w:val="en-US"/>
              </w:rPr>
            </w:pPr>
          </w:p>
        </w:tc>
        <w:tc>
          <w:tcPr>
            <w:tcW w:w="0" w:type="auto"/>
            <w:shd w:val="clear" w:color="auto" w:fill="E1E3F2"/>
          </w:tcPr>
          <w:p w14:paraId="15006AAF" w14:textId="77777777" w:rsidR="00724A4F" w:rsidRPr="002A1B2B" w:rsidRDefault="00724A4F" w:rsidP="00373560">
            <w:pPr>
              <w:pStyle w:val="ColorfulList-Accent11"/>
              <w:ind w:left="0"/>
              <w:rPr>
                <w:rFonts w:ascii="Verdana" w:hAnsi="Verdana"/>
                <w:sz w:val="18"/>
                <w:szCs w:val="18"/>
              </w:rPr>
            </w:pPr>
            <w:r w:rsidRPr="002A1B2B">
              <w:rPr>
                <w:rFonts w:ascii="Verdana" w:hAnsi="Verdana"/>
                <w:sz w:val="18"/>
                <w:szCs w:val="18"/>
              </w:rPr>
              <w:t xml:space="preserve">To the extent the data are available, provide a table of tissue penetration by body site in the </w:t>
            </w:r>
            <w:proofErr w:type="spellStart"/>
            <w:r w:rsidRPr="002A1B2B">
              <w:rPr>
                <w:rFonts w:ascii="Verdana" w:hAnsi="Verdana"/>
                <w:sz w:val="18"/>
                <w:szCs w:val="18"/>
              </w:rPr>
              <w:t>SmPC</w:t>
            </w:r>
            <w:proofErr w:type="spellEnd"/>
            <w:r w:rsidRPr="002A1B2B">
              <w:rPr>
                <w:rFonts w:ascii="Verdana" w:hAnsi="Verdana"/>
                <w:sz w:val="18"/>
                <w:szCs w:val="18"/>
              </w:rPr>
              <w:t>. Sites without indications can be listed separately. The caveats on use of such data should be noted.</w:t>
            </w:r>
          </w:p>
        </w:tc>
      </w:tr>
    </w:tbl>
    <w:p w14:paraId="227D05CF" w14:textId="77777777" w:rsidR="005D6621" w:rsidRDefault="005D6621" w:rsidP="00724A4F">
      <w:pPr>
        <w:pStyle w:val="TableFigurenoteAgency"/>
      </w:pPr>
    </w:p>
    <w:sectPr w:rsidR="005D6621" w:rsidSect="00CC192E">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08586" w14:textId="77777777" w:rsidR="0085328D" w:rsidRDefault="0085328D">
      <w:r>
        <w:separator/>
      </w:r>
    </w:p>
  </w:endnote>
  <w:endnote w:type="continuationSeparator" w:id="0">
    <w:p w14:paraId="558E87F9" w14:textId="77777777" w:rsidR="0085328D" w:rsidRDefault="0085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635287" w14:paraId="5A8511BF" w14:textId="77777777">
      <w:tc>
        <w:tcPr>
          <w:tcW w:w="5000" w:type="pct"/>
          <w:gridSpan w:val="2"/>
          <w:tcBorders>
            <w:top w:val="single" w:sz="2" w:space="0" w:color="auto"/>
            <w:left w:val="nil"/>
            <w:bottom w:val="nil"/>
            <w:right w:val="nil"/>
          </w:tcBorders>
          <w:tcMar>
            <w:left w:w="0" w:type="dxa"/>
            <w:right w:w="0" w:type="dxa"/>
          </w:tcMar>
        </w:tcPr>
        <w:p w14:paraId="1236C736" w14:textId="77777777" w:rsidR="00635287" w:rsidRDefault="00635287">
          <w:pPr>
            <w:pStyle w:val="FooterAgency"/>
          </w:pPr>
        </w:p>
      </w:tc>
    </w:tr>
    <w:tr w:rsidR="00635287" w14:paraId="2A873E4F" w14:textId="77777777">
      <w:trPr>
        <w:trHeight w:val="355"/>
      </w:trPr>
      <w:tc>
        <w:tcPr>
          <w:tcW w:w="3291" w:type="pct"/>
          <w:tcMar>
            <w:left w:w="0" w:type="dxa"/>
            <w:right w:w="0" w:type="dxa"/>
          </w:tcMar>
        </w:tcPr>
        <w:p w14:paraId="3E06AFE4" w14:textId="77777777" w:rsidR="00635287" w:rsidRDefault="00635287">
          <w:pPr>
            <w:pStyle w:val="FooterAgency"/>
          </w:pPr>
        </w:p>
      </w:tc>
      <w:tc>
        <w:tcPr>
          <w:tcW w:w="1709" w:type="pct"/>
          <w:tcMar>
            <w:left w:w="0" w:type="dxa"/>
            <w:right w:w="0" w:type="dxa"/>
          </w:tcMar>
        </w:tcPr>
        <w:p w14:paraId="2196A010" w14:textId="77777777" w:rsidR="00635287" w:rsidRDefault="00635287">
          <w:pPr>
            <w:pStyle w:val="FooterAgency"/>
          </w:pPr>
        </w:p>
      </w:tc>
    </w:tr>
    <w:tr w:rsidR="00635287" w14:paraId="5C8A27A1" w14:textId="77777777">
      <w:tc>
        <w:tcPr>
          <w:tcW w:w="3291" w:type="pct"/>
          <w:tcMar>
            <w:left w:w="0" w:type="dxa"/>
            <w:right w:w="0" w:type="dxa"/>
          </w:tcMar>
        </w:tcPr>
        <w:p w14:paraId="216E34E4" w14:textId="77777777" w:rsidR="00635287" w:rsidRDefault="00635287">
          <w:pPr>
            <w:pStyle w:val="FooterAgency"/>
          </w:pPr>
        </w:p>
      </w:tc>
      <w:tc>
        <w:tcPr>
          <w:tcW w:w="1709" w:type="pct"/>
          <w:tcMar>
            <w:left w:w="0" w:type="dxa"/>
            <w:right w:w="0" w:type="dxa"/>
          </w:tcMar>
        </w:tcPr>
        <w:p w14:paraId="1BEFE0A7" w14:textId="77777777" w:rsidR="00635287" w:rsidRDefault="005D2EDE">
          <w:pPr>
            <w:pStyle w:val="PagenumberAgency"/>
            <w:ind w:right="210"/>
          </w:pPr>
          <w:r>
            <w:fldChar w:fldCharType="begin"/>
          </w:r>
          <w:r w:rsidR="00AC4FE6">
            <w:instrText xml:space="preserve"> PAGE </w:instrText>
          </w:r>
          <w:r>
            <w:fldChar w:fldCharType="separate"/>
          </w:r>
          <w:r w:rsidR="00591370">
            <w:rPr>
              <w:noProof/>
            </w:rPr>
            <w:t>12</w:t>
          </w:r>
          <w:r>
            <w:rPr>
              <w:noProof/>
            </w:rPr>
            <w:fldChar w:fldCharType="end"/>
          </w:r>
          <w:r w:rsidR="00635287">
            <w:t>/</w:t>
          </w:r>
          <w:r>
            <w:fldChar w:fldCharType="begin"/>
          </w:r>
          <w:r w:rsidR="00AC4FE6">
            <w:instrText xml:space="preserve"> NUMPAGES </w:instrText>
          </w:r>
          <w:r>
            <w:fldChar w:fldCharType="separate"/>
          </w:r>
          <w:r w:rsidR="00591370">
            <w:rPr>
              <w:noProof/>
            </w:rPr>
            <w:t>12</w:t>
          </w:r>
          <w:r>
            <w:rPr>
              <w:noProof/>
            </w:rPr>
            <w:fldChar w:fldCharType="end"/>
          </w:r>
        </w:p>
      </w:tc>
    </w:tr>
  </w:tbl>
  <w:p w14:paraId="3B1F37D6" w14:textId="77777777" w:rsidR="00635287" w:rsidRDefault="00635287">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635287" w14:paraId="065DC1AA" w14:textId="77777777">
      <w:tc>
        <w:tcPr>
          <w:tcW w:w="9413" w:type="dxa"/>
          <w:gridSpan w:val="2"/>
          <w:tcBorders>
            <w:top w:val="single" w:sz="2" w:space="0" w:color="auto"/>
            <w:left w:val="nil"/>
            <w:bottom w:val="nil"/>
            <w:right w:val="nil"/>
          </w:tcBorders>
          <w:tcMar>
            <w:left w:w="0" w:type="dxa"/>
            <w:right w:w="0" w:type="dxa"/>
          </w:tcMar>
          <w:vAlign w:val="bottom"/>
        </w:tcPr>
        <w:p w14:paraId="0676606C" w14:textId="77777777" w:rsidR="00635287" w:rsidRDefault="00635287">
          <w:pPr>
            <w:pStyle w:val="FooterAgency"/>
          </w:pPr>
        </w:p>
      </w:tc>
    </w:tr>
    <w:tr w:rsidR="00635287" w14:paraId="6BD508A0" w14:textId="77777777">
      <w:trPr>
        <w:cantSplit/>
        <w:trHeight w:hRule="exact" w:val="198"/>
      </w:trPr>
      <w:tc>
        <w:tcPr>
          <w:tcW w:w="6206" w:type="dxa"/>
          <w:tcMar>
            <w:left w:w="0" w:type="dxa"/>
            <w:right w:w="0" w:type="dxa"/>
          </w:tcMar>
          <w:vAlign w:val="bottom"/>
        </w:tcPr>
        <w:p w14:paraId="55DB5399" w14:textId="77777777" w:rsidR="00635287" w:rsidRDefault="00635287">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51"/>
            <w:gridCol w:w="756"/>
          </w:tblGrid>
          <w:tr w:rsidR="00635287" w14:paraId="712BB81D" w14:textId="77777777">
            <w:trPr>
              <w:cantSplit/>
              <w:trHeight w:val="180"/>
              <w:tblHeader/>
              <w:jc w:val="right"/>
            </w:trPr>
            <w:tc>
              <w:tcPr>
                <w:tcW w:w="2478" w:type="dxa"/>
                <w:vMerge w:val="restart"/>
                <w:tcBorders>
                  <w:top w:val="nil"/>
                  <w:left w:val="nil"/>
                  <w:bottom w:val="nil"/>
                  <w:right w:val="nil"/>
                </w:tcBorders>
                <w:vAlign w:val="bottom"/>
              </w:tcPr>
              <w:p w14:paraId="5A23014D" w14:textId="77777777" w:rsidR="00635287" w:rsidRDefault="00635287">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0BF5D652" w14:textId="77777777" w:rsidR="00635287" w:rsidRDefault="001B4D8A">
                <w:pPr>
                  <w:pStyle w:val="FooterAgency"/>
                  <w:jc w:val="right"/>
                </w:pPr>
                <w:r>
                  <w:rPr>
                    <w:noProof/>
                    <w:lang w:val="en-US" w:eastAsia="en-US"/>
                  </w:rPr>
                  <w:drawing>
                    <wp:inline distT="0" distB="0" distL="0" distR="0" wp14:anchorId="48ADDCE1" wp14:editId="50FF76FC">
                      <wp:extent cx="388620" cy="266700"/>
                      <wp:effectExtent l="19050" t="0" r="0"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srcRect/>
                              <a:stretch>
                                <a:fillRect/>
                              </a:stretch>
                            </pic:blipFill>
                            <pic:spPr bwMode="auto">
                              <a:xfrm>
                                <a:off x="0" y="0"/>
                                <a:ext cx="388620" cy="266700"/>
                              </a:xfrm>
                              <a:prstGeom prst="rect">
                                <a:avLst/>
                              </a:prstGeom>
                              <a:noFill/>
                              <a:ln w="9525">
                                <a:noFill/>
                                <a:miter lim="800000"/>
                                <a:headEnd/>
                                <a:tailEnd/>
                              </a:ln>
                            </pic:spPr>
                          </pic:pic>
                        </a:graphicData>
                      </a:graphic>
                    </wp:inline>
                  </w:drawing>
                </w:r>
              </w:p>
            </w:tc>
          </w:tr>
          <w:tr w:rsidR="00635287" w14:paraId="34DBDB6A" w14:textId="77777777">
            <w:trPr>
              <w:cantSplit/>
              <w:trHeight w:val="390"/>
              <w:jc w:val="right"/>
            </w:trPr>
            <w:tc>
              <w:tcPr>
                <w:tcW w:w="2478" w:type="dxa"/>
                <w:vMerge/>
                <w:vAlign w:val="bottom"/>
              </w:tcPr>
              <w:p w14:paraId="354336CF" w14:textId="77777777" w:rsidR="00635287" w:rsidRDefault="00635287">
                <w:pPr>
                  <w:pStyle w:val="FooterAgency"/>
                </w:pPr>
              </w:p>
            </w:tc>
            <w:tc>
              <w:tcPr>
                <w:tcW w:w="709" w:type="dxa"/>
                <w:vMerge/>
                <w:vAlign w:val="bottom"/>
              </w:tcPr>
              <w:p w14:paraId="6E9A69DB" w14:textId="77777777" w:rsidR="00635287" w:rsidRDefault="00635287">
                <w:pPr>
                  <w:pStyle w:val="FooterAgency"/>
                </w:pPr>
              </w:p>
            </w:tc>
          </w:tr>
        </w:tbl>
        <w:p w14:paraId="717D37DD" w14:textId="77777777" w:rsidR="00635287" w:rsidRDefault="00635287">
          <w:pPr>
            <w:pStyle w:val="FooterAgency"/>
            <w:widowControl w:val="0"/>
            <w:adjustRightInd w:val="0"/>
            <w:jc w:val="right"/>
          </w:pPr>
        </w:p>
      </w:tc>
    </w:tr>
    <w:tr w:rsidR="00635287" w14:paraId="490C88E6"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635287" w14:paraId="2EFF8AB8" w14:textId="77777777">
            <w:trPr>
              <w:trHeight w:hRule="exact" w:val="198"/>
            </w:trPr>
            <w:tc>
              <w:tcPr>
                <w:tcW w:w="840" w:type="dxa"/>
                <w:gridSpan w:val="2"/>
                <w:vAlign w:val="bottom"/>
              </w:tcPr>
              <w:p w14:paraId="66B8DF54" w14:textId="77777777" w:rsidR="00635287" w:rsidRDefault="00635287">
                <w:pPr>
                  <w:pStyle w:val="FooterblueAgency"/>
                </w:pPr>
                <w:r>
                  <w:t>Telephone</w:t>
                </w:r>
              </w:p>
            </w:tc>
            <w:tc>
              <w:tcPr>
                <w:tcW w:w="1648" w:type="dxa"/>
                <w:gridSpan w:val="2"/>
                <w:vAlign w:val="bottom"/>
              </w:tcPr>
              <w:p w14:paraId="5D5C876F" w14:textId="77777777" w:rsidR="00635287" w:rsidRDefault="00635287">
                <w:pPr>
                  <w:pStyle w:val="FooterAgency"/>
                </w:pPr>
                <w:r>
                  <w:t>+44 (0)20 7418 8400</w:t>
                </w:r>
              </w:p>
            </w:tc>
            <w:tc>
              <w:tcPr>
                <w:tcW w:w="726" w:type="dxa"/>
                <w:gridSpan w:val="2"/>
                <w:vAlign w:val="bottom"/>
              </w:tcPr>
              <w:p w14:paraId="41C49912" w14:textId="77777777" w:rsidR="00635287" w:rsidRDefault="00635287">
                <w:pPr>
                  <w:pStyle w:val="FooterblueAgency"/>
                </w:pPr>
                <w:r>
                  <w:t>Facsimile</w:t>
                </w:r>
              </w:p>
            </w:tc>
            <w:tc>
              <w:tcPr>
                <w:tcW w:w="2767" w:type="dxa"/>
                <w:vAlign w:val="bottom"/>
              </w:tcPr>
              <w:p w14:paraId="2E312906" w14:textId="77777777" w:rsidR="00635287" w:rsidRDefault="00635287">
                <w:pPr>
                  <w:pStyle w:val="FooterAgency"/>
                </w:pPr>
                <w:r>
                  <w:t>+44 (0)20 7418 8416</w:t>
                </w:r>
              </w:p>
            </w:tc>
          </w:tr>
          <w:tr w:rsidR="00635287" w14:paraId="476A8A58" w14:textId="77777777">
            <w:trPr>
              <w:trHeight w:hRule="exact" w:val="198"/>
            </w:trPr>
            <w:tc>
              <w:tcPr>
                <w:tcW w:w="522" w:type="dxa"/>
                <w:vAlign w:val="bottom"/>
              </w:tcPr>
              <w:p w14:paraId="1C798FE2" w14:textId="77777777" w:rsidR="00635287" w:rsidRDefault="00635287">
                <w:pPr>
                  <w:pStyle w:val="FooterblueAgency"/>
                </w:pPr>
                <w:r>
                  <w:t>E-mail</w:t>
                </w:r>
              </w:p>
            </w:tc>
            <w:tc>
              <w:tcPr>
                <w:tcW w:w="1566" w:type="dxa"/>
                <w:gridSpan w:val="2"/>
                <w:vAlign w:val="bottom"/>
              </w:tcPr>
              <w:p w14:paraId="7E919F2C" w14:textId="77777777" w:rsidR="00635287" w:rsidRDefault="00635287">
                <w:pPr>
                  <w:pStyle w:val="FooterAgency"/>
                </w:pPr>
                <w:r>
                  <w:t>info@ema.europa.eu</w:t>
                </w:r>
              </w:p>
            </w:tc>
            <w:tc>
              <w:tcPr>
                <w:tcW w:w="649" w:type="dxa"/>
                <w:gridSpan w:val="2"/>
                <w:vAlign w:val="bottom"/>
              </w:tcPr>
              <w:p w14:paraId="33946587" w14:textId="77777777" w:rsidR="00635287" w:rsidRDefault="00635287">
                <w:pPr>
                  <w:pStyle w:val="FooterblueAgency"/>
                </w:pPr>
                <w:r>
                  <w:t>Website</w:t>
                </w:r>
              </w:p>
            </w:tc>
            <w:tc>
              <w:tcPr>
                <w:tcW w:w="3244" w:type="dxa"/>
                <w:gridSpan w:val="2"/>
                <w:vAlign w:val="bottom"/>
              </w:tcPr>
              <w:p w14:paraId="5F07C056" w14:textId="77777777" w:rsidR="00635287" w:rsidRDefault="00635287">
                <w:pPr>
                  <w:pStyle w:val="FooterAgency"/>
                </w:pPr>
                <w:r>
                  <w:t>www.ema.europa.eu</w:t>
                </w:r>
              </w:p>
            </w:tc>
          </w:tr>
        </w:tbl>
        <w:p w14:paraId="5D4A2969" w14:textId="77777777" w:rsidR="00635287" w:rsidRDefault="00635287">
          <w:pPr>
            <w:pStyle w:val="FooterAgency"/>
          </w:pPr>
        </w:p>
      </w:tc>
      <w:tc>
        <w:tcPr>
          <w:tcW w:w="3207" w:type="dxa"/>
          <w:vMerge/>
          <w:tcMar>
            <w:left w:w="0" w:type="dxa"/>
            <w:right w:w="0" w:type="dxa"/>
          </w:tcMar>
          <w:vAlign w:val="bottom"/>
        </w:tcPr>
        <w:p w14:paraId="01237A03" w14:textId="77777777" w:rsidR="00635287" w:rsidRDefault="00635287">
          <w:pPr>
            <w:pStyle w:val="FooterAgency"/>
          </w:pPr>
        </w:p>
      </w:tc>
    </w:tr>
    <w:tr w:rsidR="00635287" w14:paraId="16C77B5A" w14:textId="77777777">
      <w:tc>
        <w:tcPr>
          <w:tcW w:w="9413" w:type="dxa"/>
          <w:gridSpan w:val="2"/>
          <w:tcMar>
            <w:left w:w="0" w:type="dxa"/>
            <w:right w:w="0" w:type="dxa"/>
          </w:tcMar>
          <w:vAlign w:val="bottom"/>
        </w:tcPr>
        <w:p w14:paraId="00ECC829" w14:textId="77777777" w:rsidR="00635287" w:rsidRDefault="00635287">
          <w:pPr>
            <w:pStyle w:val="FooterAgency"/>
          </w:pPr>
        </w:p>
      </w:tc>
    </w:tr>
    <w:tr w:rsidR="00635287" w14:paraId="47B1CF4A" w14:textId="77777777">
      <w:tc>
        <w:tcPr>
          <w:tcW w:w="9413" w:type="dxa"/>
          <w:gridSpan w:val="2"/>
          <w:tcMar>
            <w:left w:w="0" w:type="dxa"/>
            <w:right w:w="0" w:type="dxa"/>
          </w:tcMar>
          <w:vAlign w:val="bottom"/>
        </w:tcPr>
        <w:p w14:paraId="7DD3F6D9" w14:textId="77777777" w:rsidR="00635287" w:rsidRDefault="00635287">
          <w:pPr>
            <w:pStyle w:val="FooterAgency"/>
            <w:jc w:val="center"/>
          </w:pPr>
        </w:p>
      </w:tc>
    </w:tr>
  </w:tbl>
  <w:p w14:paraId="0B6A340F" w14:textId="77777777" w:rsidR="00635287" w:rsidRDefault="00635287">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49836" w14:textId="77777777" w:rsidR="0085328D" w:rsidRDefault="0085328D">
      <w:r>
        <w:separator/>
      </w:r>
    </w:p>
  </w:footnote>
  <w:footnote w:type="continuationSeparator" w:id="0">
    <w:p w14:paraId="25489D7F" w14:textId="77777777" w:rsidR="0085328D" w:rsidRDefault="008532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0AD3" w14:textId="77777777" w:rsidR="00635287" w:rsidRDefault="001B4D8A">
    <w:pPr>
      <w:pStyle w:val="FooterAgency"/>
      <w:jc w:val="center"/>
    </w:pPr>
    <w:r>
      <w:rPr>
        <w:noProof/>
        <w:lang w:val="en-US" w:eastAsia="en-US"/>
      </w:rPr>
      <w:drawing>
        <wp:inline distT="0" distB="0" distL="0" distR="0" wp14:anchorId="679FC26A" wp14:editId="76F24E2C">
          <wp:extent cx="3558540" cy="1798320"/>
          <wp:effectExtent l="19050" t="0" r="381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srcRect/>
                  <a:stretch>
                    <a:fillRect/>
                  </a:stretch>
                </pic:blipFill>
                <pic:spPr bwMode="auto">
                  <a:xfrm>
                    <a:off x="0" y="0"/>
                    <a:ext cx="3558540" cy="1798320"/>
                  </a:xfrm>
                  <a:prstGeom prst="rect">
                    <a:avLst/>
                  </a:prstGeom>
                  <a:noFill/>
                  <a:ln w="9525">
                    <a:noFill/>
                    <a:miter lim="800000"/>
                    <a:headEnd/>
                    <a:tailEnd/>
                  </a:ln>
                </pic:spPr>
              </pic:pic>
            </a:graphicData>
          </a:graphic>
        </wp:inline>
      </w:drawing>
    </w:r>
    <w:r w:rsidR="00635287">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166E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0EAE6045"/>
    <w:multiLevelType w:val="hybridMultilevel"/>
    <w:tmpl w:val="21808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9546E7"/>
    <w:multiLevelType w:val="hybridMultilevel"/>
    <w:tmpl w:val="C404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8">
    <w:nsid w:val="372E2FD1"/>
    <w:multiLevelType w:val="hybridMultilevel"/>
    <w:tmpl w:val="245E95F8"/>
    <w:lvl w:ilvl="0" w:tplc="D0FE2302">
      <w:start w:val="1"/>
      <w:numFmt w:val="bullet"/>
      <w:lvlText w:val="•"/>
      <w:lvlJc w:val="left"/>
      <w:pPr>
        <w:tabs>
          <w:tab w:val="num" w:pos="720"/>
        </w:tabs>
        <w:ind w:left="720" w:hanging="360"/>
      </w:pPr>
      <w:rPr>
        <w:rFonts w:ascii="Arial" w:hAnsi="Arial" w:hint="default"/>
      </w:rPr>
    </w:lvl>
    <w:lvl w:ilvl="1" w:tplc="78F24DD8">
      <w:numFmt w:val="bullet"/>
      <w:lvlText w:val="•"/>
      <w:lvlJc w:val="left"/>
      <w:pPr>
        <w:tabs>
          <w:tab w:val="num" w:pos="1440"/>
        </w:tabs>
        <w:ind w:left="1440" w:hanging="360"/>
      </w:pPr>
      <w:rPr>
        <w:rFonts w:ascii="Arial" w:hAnsi="Arial" w:hint="default"/>
      </w:rPr>
    </w:lvl>
    <w:lvl w:ilvl="2" w:tplc="D682B648" w:tentative="1">
      <w:start w:val="1"/>
      <w:numFmt w:val="bullet"/>
      <w:lvlText w:val="•"/>
      <w:lvlJc w:val="left"/>
      <w:pPr>
        <w:tabs>
          <w:tab w:val="num" w:pos="2160"/>
        </w:tabs>
        <w:ind w:left="2160" w:hanging="360"/>
      </w:pPr>
      <w:rPr>
        <w:rFonts w:ascii="Arial" w:hAnsi="Arial" w:hint="default"/>
      </w:rPr>
    </w:lvl>
    <w:lvl w:ilvl="3" w:tplc="6156A23E" w:tentative="1">
      <w:start w:val="1"/>
      <w:numFmt w:val="bullet"/>
      <w:lvlText w:val="•"/>
      <w:lvlJc w:val="left"/>
      <w:pPr>
        <w:tabs>
          <w:tab w:val="num" w:pos="2880"/>
        </w:tabs>
        <w:ind w:left="2880" w:hanging="360"/>
      </w:pPr>
      <w:rPr>
        <w:rFonts w:ascii="Arial" w:hAnsi="Arial" w:hint="default"/>
      </w:rPr>
    </w:lvl>
    <w:lvl w:ilvl="4" w:tplc="A8148652" w:tentative="1">
      <w:start w:val="1"/>
      <w:numFmt w:val="bullet"/>
      <w:lvlText w:val="•"/>
      <w:lvlJc w:val="left"/>
      <w:pPr>
        <w:tabs>
          <w:tab w:val="num" w:pos="3600"/>
        </w:tabs>
        <w:ind w:left="3600" w:hanging="360"/>
      </w:pPr>
      <w:rPr>
        <w:rFonts w:ascii="Arial" w:hAnsi="Arial" w:hint="default"/>
      </w:rPr>
    </w:lvl>
    <w:lvl w:ilvl="5" w:tplc="63E8389C" w:tentative="1">
      <w:start w:val="1"/>
      <w:numFmt w:val="bullet"/>
      <w:lvlText w:val="•"/>
      <w:lvlJc w:val="left"/>
      <w:pPr>
        <w:tabs>
          <w:tab w:val="num" w:pos="4320"/>
        </w:tabs>
        <w:ind w:left="4320" w:hanging="360"/>
      </w:pPr>
      <w:rPr>
        <w:rFonts w:ascii="Arial" w:hAnsi="Arial" w:hint="default"/>
      </w:rPr>
    </w:lvl>
    <w:lvl w:ilvl="6" w:tplc="13840C56" w:tentative="1">
      <w:start w:val="1"/>
      <w:numFmt w:val="bullet"/>
      <w:lvlText w:val="•"/>
      <w:lvlJc w:val="left"/>
      <w:pPr>
        <w:tabs>
          <w:tab w:val="num" w:pos="5040"/>
        </w:tabs>
        <w:ind w:left="5040" w:hanging="360"/>
      </w:pPr>
      <w:rPr>
        <w:rFonts w:ascii="Arial" w:hAnsi="Arial" w:hint="default"/>
      </w:rPr>
    </w:lvl>
    <w:lvl w:ilvl="7" w:tplc="7ECAB252" w:tentative="1">
      <w:start w:val="1"/>
      <w:numFmt w:val="bullet"/>
      <w:lvlText w:val="•"/>
      <w:lvlJc w:val="left"/>
      <w:pPr>
        <w:tabs>
          <w:tab w:val="num" w:pos="5760"/>
        </w:tabs>
        <w:ind w:left="5760" w:hanging="360"/>
      </w:pPr>
      <w:rPr>
        <w:rFonts w:ascii="Arial" w:hAnsi="Arial" w:hint="default"/>
      </w:rPr>
    </w:lvl>
    <w:lvl w:ilvl="8" w:tplc="6ACECEB8" w:tentative="1">
      <w:start w:val="1"/>
      <w:numFmt w:val="bullet"/>
      <w:lvlText w:val="•"/>
      <w:lvlJc w:val="left"/>
      <w:pPr>
        <w:tabs>
          <w:tab w:val="num" w:pos="6480"/>
        </w:tabs>
        <w:ind w:left="6480" w:hanging="360"/>
      </w:pPr>
      <w:rPr>
        <w:rFonts w:ascii="Arial" w:hAnsi="Arial" w:hint="default"/>
      </w:rPr>
    </w:lvl>
  </w:abstractNum>
  <w:abstractNum w:abstractNumId="19">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nsid w:val="62EC544C"/>
    <w:multiLevelType w:val="hybridMultilevel"/>
    <w:tmpl w:val="41E8E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66BF7C1A"/>
    <w:multiLevelType w:val="hybridMultilevel"/>
    <w:tmpl w:val="54300E52"/>
    <w:lvl w:ilvl="0" w:tplc="9BCA0206">
      <w:start w:val="1"/>
      <w:numFmt w:val="bullet"/>
      <w:lvlText w:val="•"/>
      <w:lvlJc w:val="left"/>
      <w:pPr>
        <w:tabs>
          <w:tab w:val="num" w:pos="720"/>
        </w:tabs>
        <w:ind w:left="720" w:hanging="360"/>
      </w:pPr>
      <w:rPr>
        <w:rFonts w:ascii="Arial" w:hAnsi="Arial" w:hint="default"/>
      </w:rPr>
    </w:lvl>
    <w:lvl w:ilvl="1" w:tplc="0ED2E068">
      <w:numFmt w:val="none"/>
      <w:lvlText w:val=""/>
      <w:lvlJc w:val="left"/>
      <w:pPr>
        <w:tabs>
          <w:tab w:val="num" w:pos="360"/>
        </w:tabs>
      </w:pPr>
    </w:lvl>
    <w:lvl w:ilvl="2" w:tplc="8848B7A8">
      <w:numFmt w:val="none"/>
      <w:lvlText w:val=""/>
      <w:lvlJc w:val="left"/>
      <w:pPr>
        <w:tabs>
          <w:tab w:val="num" w:pos="360"/>
        </w:tabs>
      </w:pPr>
    </w:lvl>
    <w:lvl w:ilvl="3" w:tplc="1AF81B60">
      <w:numFmt w:val="none"/>
      <w:lvlText w:val=""/>
      <w:lvlJc w:val="left"/>
      <w:pPr>
        <w:tabs>
          <w:tab w:val="num" w:pos="360"/>
        </w:tabs>
      </w:pPr>
    </w:lvl>
    <w:lvl w:ilvl="4" w:tplc="7C646534" w:tentative="1">
      <w:start w:val="1"/>
      <w:numFmt w:val="bullet"/>
      <w:lvlText w:val="•"/>
      <w:lvlJc w:val="left"/>
      <w:pPr>
        <w:tabs>
          <w:tab w:val="num" w:pos="3600"/>
        </w:tabs>
        <w:ind w:left="3600" w:hanging="360"/>
      </w:pPr>
      <w:rPr>
        <w:rFonts w:ascii="Arial" w:hAnsi="Arial" w:hint="default"/>
      </w:rPr>
    </w:lvl>
    <w:lvl w:ilvl="5" w:tplc="059A240A" w:tentative="1">
      <w:start w:val="1"/>
      <w:numFmt w:val="bullet"/>
      <w:lvlText w:val="•"/>
      <w:lvlJc w:val="left"/>
      <w:pPr>
        <w:tabs>
          <w:tab w:val="num" w:pos="4320"/>
        </w:tabs>
        <w:ind w:left="4320" w:hanging="360"/>
      </w:pPr>
      <w:rPr>
        <w:rFonts w:ascii="Arial" w:hAnsi="Arial" w:hint="default"/>
      </w:rPr>
    </w:lvl>
    <w:lvl w:ilvl="6" w:tplc="115C5CEE" w:tentative="1">
      <w:start w:val="1"/>
      <w:numFmt w:val="bullet"/>
      <w:lvlText w:val="•"/>
      <w:lvlJc w:val="left"/>
      <w:pPr>
        <w:tabs>
          <w:tab w:val="num" w:pos="5040"/>
        </w:tabs>
        <w:ind w:left="5040" w:hanging="360"/>
      </w:pPr>
      <w:rPr>
        <w:rFonts w:ascii="Arial" w:hAnsi="Arial" w:hint="default"/>
      </w:rPr>
    </w:lvl>
    <w:lvl w:ilvl="7" w:tplc="77CE9C80" w:tentative="1">
      <w:start w:val="1"/>
      <w:numFmt w:val="bullet"/>
      <w:lvlText w:val="•"/>
      <w:lvlJc w:val="left"/>
      <w:pPr>
        <w:tabs>
          <w:tab w:val="num" w:pos="5760"/>
        </w:tabs>
        <w:ind w:left="5760" w:hanging="360"/>
      </w:pPr>
      <w:rPr>
        <w:rFonts w:ascii="Arial" w:hAnsi="Arial" w:hint="default"/>
      </w:rPr>
    </w:lvl>
    <w:lvl w:ilvl="8" w:tplc="70FCFB62" w:tentative="1">
      <w:start w:val="1"/>
      <w:numFmt w:val="bullet"/>
      <w:lvlText w:val="•"/>
      <w:lvlJc w:val="left"/>
      <w:pPr>
        <w:tabs>
          <w:tab w:val="num" w:pos="6480"/>
        </w:tabs>
        <w:ind w:left="6480" w:hanging="360"/>
      </w:pPr>
      <w:rPr>
        <w:rFonts w:ascii="Arial" w:hAnsi="Arial" w:hint="default"/>
      </w:rPr>
    </w:lvl>
  </w:abstractNum>
  <w:abstractNum w:abstractNumId="24">
    <w:nsid w:val="76A7411C"/>
    <w:multiLevelType w:val="hybridMultilevel"/>
    <w:tmpl w:val="06AC6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17"/>
  </w:num>
  <w:num w:numId="13">
    <w:abstractNumId w:val="12"/>
  </w:num>
  <w:num w:numId="14">
    <w:abstractNumId w:val="22"/>
  </w:num>
  <w:num w:numId="15">
    <w:abstractNumId w:val="16"/>
  </w:num>
  <w:num w:numId="16">
    <w:abstractNumId w:val="19"/>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17"/>
  </w:num>
  <w:num w:numId="39">
    <w:abstractNumId w:val="12"/>
  </w:num>
  <w:num w:numId="40">
    <w:abstractNumId w:val="0"/>
  </w:num>
  <w:num w:numId="41">
    <w:abstractNumId w:val="18"/>
  </w:num>
  <w:num w:numId="42">
    <w:abstractNumId w:val="24"/>
  </w:num>
  <w:num w:numId="43">
    <w:abstractNumId w:val="23"/>
  </w:num>
  <w:num w:numId="44">
    <w:abstractNumId w:val="15"/>
  </w:num>
  <w:num w:numId="45">
    <w:abstractNumId w:val="1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doNotTrackFormatting/>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20918"/>
    <w:rsid w:val="00055418"/>
    <w:rsid w:val="000560D9"/>
    <w:rsid w:val="00063A68"/>
    <w:rsid w:val="00096D3B"/>
    <w:rsid w:val="0012106B"/>
    <w:rsid w:val="00132CE2"/>
    <w:rsid w:val="00160F0A"/>
    <w:rsid w:val="00165C64"/>
    <w:rsid w:val="0019413F"/>
    <w:rsid w:val="001A4DA5"/>
    <w:rsid w:val="001B4D8A"/>
    <w:rsid w:val="001C14F7"/>
    <w:rsid w:val="001C2C42"/>
    <w:rsid w:val="001E6C7E"/>
    <w:rsid w:val="001F3855"/>
    <w:rsid w:val="002027F4"/>
    <w:rsid w:val="00212AB1"/>
    <w:rsid w:val="002239DB"/>
    <w:rsid w:val="00234DA9"/>
    <w:rsid w:val="00240294"/>
    <w:rsid w:val="00265BE1"/>
    <w:rsid w:val="00271214"/>
    <w:rsid w:val="00297A4B"/>
    <w:rsid w:val="00304E6B"/>
    <w:rsid w:val="00371142"/>
    <w:rsid w:val="00373560"/>
    <w:rsid w:val="00420779"/>
    <w:rsid w:val="0045621C"/>
    <w:rsid w:val="004658E5"/>
    <w:rsid w:val="00474DE6"/>
    <w:rsid w:val="00493566"/>
    <w:rsid w:val="004A383E"/>
    <w:rsid w:val="004E7520"/>
    <w:rsid w:val="004F7E2C"/>
    <w:rsid w:val="00507420"/>
    <w:rsid w:val="005222EA"/>
    <w:rsid w:val="005410AE"/>
    <w:rsid w:val="00566ECD"/>
    <w:rsid w:val="005760BB"/>
    <w:rsid w:val="00591370"/>
    <w:rsid w:val="005A4FD1"/>
    <w:rsid w:val="005A7E3A"/>
    <w:rsid w:val="005D2EDE"/>
    <w:rsid w:val="005D6621"/>
    <w:rsid w:val="00607C02"/>
    <w:rsid w:val="00635287"/>
    <w:rsid w:val="00642B5C"/>
    <w:rsid w:val="00643C5F"/>
    <w:rsid w:val="0064725D"/>
    <w:rsid w:val="006556A3"/>
    <w:rsid w:val="006C6950"/>
    <w:rsid w:val="006D31E1"/>
    <w:rsid w:val="006E3E30"/>
    <w:rsid w:val="006F357D"/>
    <w:rsid w:val="00721144"/>
    <w:rsid w:val="00724A4F"/>
    <w:rsid w:val="007854C8"/>
    <w:rsid w:val="0078658C"/>
    <w:rsid w:val="007A086A"/>
    <w:rsid w:val="007A7989"/>
    <w:rsid w:val="007B1656"/>
    <w:rsid w:val="007B2C84"/>
    <w:rsid w:val="007C0578"/>
    <w:rsid w:val="007C689C"/>
    <w:rsid w:val="00841347"/>
    <w:rsid w:val="00845277"/>
    <w:rsid w:val="0085328D"/>
    <w:rsid w:val="00873B10"/>
    <w:rsid w:val="00885655"/>
    <w:rsid w:val="008C4903"/>
    <w:rsid w:val="008D487F"/>
    <w:rsid w:val="008F0457"/>
    <w:rsid w:val="00913FB3"/>
    <w:rsid w:val="00930CC9"/>
    <w:rsid w:val="009766AD"/>
    <w:rsid w:val="009803C5"/>
    <w:rsid w:val="00993A34"/>
    <w:rsid w:val="009A6879"/>
    <w:rsid w:val="009B3AB7"/>
    <w:rsid w:val="009D1794"/>
    <w:rsid w:val="009F4A07"/>
    <w:rsid w:val="00A12A5C"/>
    <w:rsid w:val="00A20706"/>
    <w:rsid w:val="00A25180"/>
    <w:rsid w:val="00A6748C"/>
    <w:rsid w:val="00A83111"/>
    <w:rsid w:val="00AC4FE6"/>
    <w:rsid w:val="00AC75DD"/>
    <w:rsid w:val="00AD6840"/>
    <w:rsid w:val="00AD6920"/>
    <w:rsid w:val="00AE3C8C"/>
    <w:rsid w:val="00B12530"/>
    <w:rsid w:val="00B14180"/>
    <w:rsid w:val="00B56F10"/>
    <w:rsid w:val="00B933A7"/>
    <w:rsid w:val="00BA00B1"/>
    <w:rsid w:val="00BD22D9"/>
    <w:rsid w:val="00BD434B"/>
    <w:rsid w:val="00BE7C00"/>
    <w:rsid w:val="00C012D8"/>
    <w:rsid w:val="00C10C5E"/>
    <w:rsid w:val="00C32EF9"/>
    <w:rsid w:val="00C615A7"/>
    <w:rsid w:val="00C84C9D"/>
    <w:rsid w:val="00CB66CC"/>
    <w:rsid w:val="00CB6C05"/>
    <w:rsid w:val="00CC192E"/>
    <w:rsid w:val="00CD21C0"/>
    <w:rsid w:val="00CE4BBB"/>
    <w:rsid w:val="00CE7221"/>
    <w:rsid w:val="00D0530D"/>
    <w:rsid w:val="00D20CDC"/>
    <w:rsid w:val="00DB7358"/>
    <w:rsid w:val="00DE5A34"/>
    <w:rsid w:val="00E36D9D"/>
    <w:rsid w:val="00E41BD0"/>
    <w:rsid w:val="00E56522"/>
    <w:rsid w:val="00E84270"/>
    <w:rsid w:val="00EB075E"/>
    <w:rsid w:val="00EB3B0C"/>
    <w:rsid w:val="00EB6901"/>
    <w:rsid w:val="00ED76B6"/>
    <w:rsid w:val="00EE6379"/>
    <w:rsid w:val="00F41250"/>
    <w:rsid w:val="00F42EA9"/>
    <w:rsid w:val="00F70CDF"/>
    <w:rsid w:val="00FA6AB2"/>
    <w:rsid w:val="00FB5317"/>
    <w:rsid w:val="00FF6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B5C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92E"/>
    <w:rPr>
      <w:rFonts w:ascii="Verdana" w:hAnsi="Verdana" w:cs="Verdana"/>
      <w:sz w:val="18"/>
      <w:szCs w:val="18"/>
      <w:lang w:val="en-GB" w:eastAsia="zh-CN"/>
    </w:rPr>
  </w:style>
  <w:style w:type="paragraph" w:styleId="Heading1">
    <w:name w:val="heading 1"/>
    <w:basedOn w:val="No-numheading1Agency"/>
    <w:next w:val="BodytextAgency"/>
    <w:qFormat/>
    <w:rsid w:val="00CC192E"/>
    <w:rPr>
      <w:noProof/>
    </w:rPr>
  </w:style>
  <w:style w:type="paragraph" w:styleId="Heading2">
    <w:name w:val="heading 2"/>
    <w:basedOn w:val="No-numheading2Agency"/>
    <w:next w:val="BodytextAgency"/>
    <w:qFormat/>
    <w:rsid w:val="00CC192E"/>
  </w:style>
  <w:style w:type="paragraph" w:styleId="Heading3">
    <w:name w:val="heading 3"/>
    <w:basedOn w:val="No-numheading3Agency"/>
    <w:next w:val="BodytextAgency"/>
    <w:qFormat/>
    <w:rsid w:val="00CC192E"/>
  </w:style>
  <w:style w:type="paragraph" w:styleId="Heading4">
    <w:name w:val="heading 4"/>
    <w:basedOn w:val="No-numheading4Agency"/>
    <w:next w:val="BodytextAgency"/>
    <w:qFormat/>
    <w:rsid w:val="00CC192E"/>
  </w:style>
  <w:style w:type="paragraph" w:styleId="Heading5">
    <w:name w:val="heading 5"/>
    <w:basedOn w:val="Normal"/>
    <w:next w:val="Normal"/>
    <w:qFormat/>
    <w:rsid w:val="00CC192E"/>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CC192E"/>
  </w:style>
  <w:style w:type="paragraph" w:styleId="Heading7">
    <w:name w:val="heading 7"/>
    <w:basedOn w:val="No-numheading7Agency"/>
    <w:next w:val="BodytextAgency"/>
    <w:qFormat/>
    <w:rsid w:val="00CC192E"/>
  </w:style>
  <w:style w:type="paragraph" w:styleId="Heading8">
    <w:name w:val="heading 8"/>
    <w:basedOn w:val="No-numheading8Agency"/>
    <w:next w:val="BodytextAgency"/>
    <w:qFormat/>
    <w:rsid w:val="00CC192E"/>
  </w:style>
  <w:style w:type="paragraph" w:styleId="Heading9">
    <w:name w:val="heading 9"/>
    <w:basedOn w:val="No-numheading9Agency"/>
    <w:next w:val="BodytextAgency"/>
    <w:qFormat/>
    <w:rsid w:val="00CC1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CC192E"/>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CC192E"/>
    <w:pPr>
      <w:spacing w:after="140" w:line="280" w:lineRule="atLeast"/>
    </w:pPr>
    <w:rPr>
      <w:rFonts w:eastAsia="Verdana"/>
      <w:lang w:eastAsia="en-GB"/>
    </w:rPr>
  </w:style>
  <w:style w:type="paragraph" w:customStyle="1" w:styleId="No-numheading2Agency">
    <w:name w:val="No-num heading 2 (Agency)"/>
    <w:basedOn w:val="Normal"/>
    <w:next w:val="BodytextAgency"/>
    <w:rsid w:val="00CC192E"/>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CC192E"/>
    <w:pPr>
      <w:numPr>
        <w:ilvl w:val="0"/>
        <w:numId w:val="0"/>
      </w:numPr>
    </w:pPr>
  </w:style>
  <w:style w:type="paragraph" w:customStyle="1" w:styleId="Heading3Agency">
    <w:name w:val="Heading 3 (Agency)"/>
    <w:basedOn w:val="Normal"/>
    <w:next w:val="BodytextAgency"/>
    <w:rsid w:val="00CC192E"/>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CC192E"/>
    <w:pPr>
      <w:numPr>
        <w:ilvl w:val="0"/>
        <w:numId w:val="0"/>
      </w:numPr>
    </w:pPr>
  </w:style>
  <w:style w:type="paragraph" w:customStyle="1" w:styleId="Heading4Agency">
    <w:name w:val="Heading 4 (Agency)"/>
    <w:basedOn w:val="Heading3Agency"/>
    <w:next w:val="BodytextAgency"/>
    <w:semiHidden/>
    <w:rsid w:val="00CC192E"/>
    <w:pPr>
      <w:numPr>
        <w:ilvl w:val="3"/>
      </w:numPr>
      <w:outlineLvl w:val="3"/>
    </w:pPr>
    <w:rPr>
      <w:i/>
      <w:sz w:val="18"/>
      <w:szCs w:val="18"/>
    </w:rPr>
  </w:style>
  <w:style w:type="paragraph" w:customStyle="1" w:styleId="No-numheading6Agency">
    <w:name w:val="No-num heading 6 (Agency)"/>
    <w:basedOn w:val="No-numheading5Agency"/>
    <w:next w:val="BodytextAgency"/>
    <w:semiHidden/>
    <w:rsid w:val="00CC192E"/>
    <w:pPr>
      <w:outlineLvl w:val="5"/>
    </w:pPr>
  </w:style>
  <w:style w:type="paragraph" w:customStyle="1" w:styleId="No-numheading5Agency">
    <w:name w:val="No-num heading 5 (Agency)"/>
    <w:basedOn w:val="Heading5Agency"/>
    <w:next w:val="BodytextAgency"/>
    <w:semiHidden/>
    <w:rsid w:val="00CC192E"/>
    <w:pPr>
      <w:numPr>
        <w:ilvl w:val="0"/>
        <w:numId w:val="0"/>
      </w:numPr>
    </w:pPr>
  </w:style>
  <w:style w:type="paragraph" w:customStyle="1" w:styleId="Heading5Agency">
    <w:name w:val="Heading 5 (Agency)"/>
    <w:basedOn w:val="Heading4Agency"/>
    <w:next w:val="BodytextAgency"/>
    <w:semiHidden/>
    <w:rsid w:val="00CC192E"/>
    <w:pPr>
      <w:numPr>
        <w:ilvl w:val="4"/>
      </w:numPr>
      <w:outlineLvl w:val="4"/>
    </w:pPr>
    <w:rPr>
      <w:i w:val="0"/>
    </w:rPr>
  </w:style>
  <w:style w:type="paragraph" w:customStyle="1" w:styleId="No-numheading7Agency">
    <w:name w:val="No-num heading 7 (Agency)"/>
    <w:basedOn w:val="No-numheading6Agency"/>
    <w:next w:val="BodytextAgency"/>
    <w:semiHidden/>
    <w:rsid w:val="00CC192E"/>
    <w:pPr>
      <w:outlineLvl w:val="6"/>
    </w:pPr>
  </w:style>
  <w:style w:type="paragraph" w:customStyle="1" w:styleId="No-numheading8Agency">
    <w:name w:val="No-num heading 8 (Agency)"/>
    <w:basedOn w:val="No-numheading7Agency"/>
    <w:next w:val="BodytextAgency"/>
    <w:semiHidden/>
    <w:rsid w:val="00CC192E"/>
    <w:pPr>
      <w:outlineLvl w:val="7"/>
    </w:pPr>
  </w:style>
  <w:style w:type="paragraph" w:customStyle="1" w:styleId="No-numheading9Agency">
    <w:name w:val="No-num heading 9 (Agency)"/>
    <w:basedOn w:val="No-numheading8Agency"/>
    <w:next w:val="BodytextAgency"/>
    <w:semiHidden/>
    <w:rsid w:val="00CC192E"/>
    <w:pPr>
      <w:outlineLvl w:val="8"/>
    </w:pPr>
  </w:style>
  <w:style w:type="paragraph" w:styleId="Footer">
    <w:name w:val="footer"/>
    <w:basedOn w:val="Normal"/>
    <w:semiHidden/>
    <w:rsid w:val="00CC192E"/>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CC192E"/>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CC192E"/>
  </w:style>
  <w:style w:type="paragraph" w:customStyle="1" w:styleId="FooterAgency">
    <w:name w:val="Footer (Agency)"/>
    <w:basedOn w:val="Normal"/>
    <w:semiHidden/>
    <w:rsid w:val="00CC192E"/>
    <w:rPr>
      <w:rFonts w:eastAsia="Verdana"/>
      <w:color w:val="6D6F71"/>
      <w:sz w:val="14"/>
      <w:szCs w:val="14"/>
      <w:lang w:eastAsia="en-GB"/>
    </w:rPr>
  </w:style>
  <w:style w:type="paragraph" w:customStyle="1" w:styleId="FooterblueAgency">
    <w:name w:val="Footer blue (Agency)"/>
    <w:basedOn w:val="Normal"/>
    <w:semiHidden/>
    <w:rsid w:val="00CC192E"/>
    <w:rPr>
      <w:rFonts w:eastAsia="Verdana"/>
      <w:b/>
      <w:color w:val="003399"/>
      <w:sz w:val="13"/>
      <w:szCs w:val="14"/>
      <w:lang w:eastAsia="en-GB"/>
    </w:rPr>
  </w:style>
  <w:style w:type="character" w:customStyle="1" w:styleId="FooterAgencyCharChar">
    <w:name w:val="Footer (Agency) Char Char"/>
    <w:semiHidden/>
    <w:rsid w:val="00CC192E"/>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CC192E"/>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CC192E"/>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CC192E"/>
    <w:rPr>
      <w:rFonts w:ascii="Verdana" w:eastAsia="Verdana" w:hAnsi="Verdana" w:cs="Verdana"/>
      <w:b/>
      <w:color w:val="003399"/>
      <w:sz w:val="13"/>
      <w:szCs w:val="14"/>
      <w:lang w:val="en-GB" w:eastAsia="en-GB" w:bidi="ar-SA"/>
    </w:rPr>
  </w:style>
  <w:style w:type="paragraph" w:styleId="BodyText">
    <w:name w:val="Body Text"/>
    <w:basedOn w:val="Normal"/>
    <w:semiHidden/>
    <w:rsid w:val="00CC192E"/>
    <w:pPr>
      <w:spacing w:after="140" w:line="280" w:lineRule="atLeast"/>
    </w:pPr>
  </w:style>
  <w:style w:type="paragraph" w:customStyle="1" w:styleId="DisclaimerAgency">
    <w:name w:val="Disclaimer (Agency)"/>
    <w:basedOn w:val="Normal"/>
    <w:semiHidden/>
    <w:rsid w:val="00CC192E"/>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CC192E"/>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CC192E"/>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CC192E"/>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CC192E"/>
    <w:rPr>
      <w:rFonts w:ascii="Verdana" w:hAnsi="Verdana"/>
      <w:vertAlign w:val="superscript"/>
    </w:rPr>
  </w:style>
  <w:style w:type="character" w:customStyle="1" w:styleId="EndnotereferenceAgency">
    <w:name w:val="Endnote reference (Agency)"/>
    <w:semiHidden/>
    <w:rsid w:val="00CC192E"/>
    <w:rPr>
      <w:rFonts w:ascii="Verdana" w:hAnsi="Verdana"/>
      <w:vertAlign w:val="superscript"/>
    </w:rPr>
  </w:style>
  <w:style w:type="paragraph" w:styleId="EndnoteText">
    <w:name w:val="endnote text"/>
    <w:basedOn w:val="Normal"/>
    <w:semiHidden/>
    <w:rsid w:val="00CC192E"/>
    <w:rPr>
      <w:rFonts w:eastAsia="Verdana"/>
      <w:sz w:val="15"/>
      <w:szCs w:val="15"/>
      <w:lang w:eastAsia="en-GB"/>
    </w:rPr>
  </w:style>
  <w:style w:type="paragraph" w:customStyle="1" w:styleId="EndnotetextAgency">
    <w:name w:val="Endnote text (Agency)"/>
    <w:basedOn w:val="Normal"/>
    <w:semiHidden/>
    <w:rsid w:val="00CC192E"/>
    <w:rPr>
      <w:rFonts w:eastAsia="Verdana"/>
      <w:sz w:val="15"/>
      <w:lang w:eastAsia="en-GB"/>
    </w:rPr>
  </w:style>
  <w:style w:type="paragraph" w:customStyle="1" w:styleId="FigureAgency">
    <w:name w:val="Figure (Agency)"/>
    <w:basedOn w:val="Normal"/>
    <w:next w:val="BodytextAgency"/>
    <w:semiHidden/>
    <w:rsid w:val="00CC192E"/>
    <w:pPr>
      <w:jc w:val="center"/>
    </w:pPr>
  </w:style>
  <w:style w:type="paragraph" w:customStyle="1" w:styleId="FigureheadingAgency">
    <w:name w:val="Figure heading (Agency)"/>
    <w:basedOn w:val="Normal"/>
    <w:next w:val="FigureAgency"/>
    <w:semiHidden/>
    <w:rsid w:val="00CC192E"/>
    <w:pPr>
      <w:keepNext/>
      <w:numPr>
        <w:numId w:val="28"/>
      </w:numPr>
      <w:spacing w:before="240" w:after="120"/>
    </w:pPr>
  </w:style>
  <w:style w:type="character" w:styleId="FootnoteReference">
    <w:name w:val="footnote reference"/>
    <w:semiHidden/>
    <w:rsid w:val="00CC192E"/>
    <w:rPr>
      <w:rFonts w:ascii="Verdana" w:hAnsi="Verdana"/>
      <w:vertAlign w:val="superscript"/>
    </w:rPr>
  </w:style>
  <w:style w:type="character" w:customStyle="1" w:styleId="FootnotereferenceAgency">
    <w:name w:val="Footnote reference (Agency)"/>
    <w:semiHidden/>
    <w:rsid w:val="00CC192E"/>
    <w:rPr>
      <w:rFonts w:ascii="Verdana" w:hAnsi="Verdana"/>
      <w:color w:val="auto"/>
      <w:vertAlign w:val="superscript"/>
    </w:rPr>
  </w:style>
  <w:style w:type="paragraph" w:styleId="FootnoteText">
    <w:name w:val="footnote text"/>
    <w:basedOn w:val="Normal"/>
    <w:semiHidden/>
    <w:rsid w:val="00CC192E"/>
    <w:rPr>
      <w:rFonts w:eastAsia="Verdana"/>
      <w:sz w:val="15"/>
      <w:szCs w:val="20"/>
      <w:lang w:eastAsia="en-GB"/>
    </w:rPr>
  </w:style>
  <w:style w:type="paragraph" w:customStyle="1" w:styleId="FootnotetextAgency">
    <w:name w:val="Footnote text (Agency)"/>
    <w:basedOn w:val="Normal"/>
    <w:semiHidden/>
    <w:rsid w:val="00CC192E"/>
    <w:rPr>
      <w:rFonts w:eastAsia="Verdana"/>
      <w:sz w:val="15"/>
      <w:lang w:eastAsia="en-GB"/>
    </w:rPr>
  </w:style>
  <w:style w:type="paragraph" w:customStyle="1" w:styleId="HeaderAgency">
    <w:name w:val="Header (Agency)"/>
    <w:basedOn w:val="Normal"/>
    <w:semiHidden/>
    <w:rsid w:val="00CC192E"/>
    <w:rPr>
      <w:rFonts w:eastAsia="Verdana"/>
      <w:lang w:eastAsia="en-GB"/>
    </w:rPr>
  </w:style>
  <w:style w:type="paragraph" w:customStyle="1" w:styleId="Heading1Agency">
    <w:name w:val="Heading 1 (Agency)"/>
    <w:basedOn w:val="Normal"/>
    <w:next w:val="BodytextAgency"/>
    <w:rsid w:val="00CC192E"/>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CC192E"/>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CC192E"/>
    <w:pPr>
      <w:numPr>
        <w:ilvl w:val="5"/>
      </w:numPr>
      <w:outlineLvl w:val="5"/>
    </w:pPr>
  </w:style>
  <w:style w:type="paragraph" w:customStyle="1" w:styleId="Heading7Agency">
    <w:name w:val="Heading 7 (Agency)"/>
    <w:basedOn w:val="Heading6Agency"/>
    <w:next w:val="BodytextAgency"/>
    <w:semiHidden/>
    <w:rsid w:val="00CC192E"/>
    <w:pPr>
      <w:numPr>
        <w:ilvl w:val="6"/>
      </w:numPr>
      <w:outlineLvl w:val="6"/>
    </w:pPr>
  </w:style>
  <w:style w:type="paragraph" w:customStyle="1" w:styleId="Heading8Agency">
    <w:name w:val="Heading 8 (Agency)"/>
    <w:basedOn w:val="Heading7Agency"/>
    <w:next w:val="BodytextAgency"/>
    <w:semiHidden/>
    <w:rsid w:val="00CC192E"/>
    <w:pPr>
      <w:numPr>
        <w:ilvl w:val="7"/>
      </w:numPr>
      <w:outlineLvl w:val="7"/>
    </w:pPr>
  </w:style>
  <w:style w:type="paragraph" w:customStyle="1" w:styleId="Heading9Agency">
    <w:name w:val="Heading 9 (Agency)"/>
    <w:basedOn w:val="Heading8Agency"/>
    <w:next w:val="BodytextAgency"/>
    <w:semiHidden/>
    <w:rsid w:val="00CC192E"/>
    <w:pPr>
      <w:numPr>
        <w:ilvl w:val="8"/>
      </w:numPr>
      <w:outlineLvl w:val="8"/>
    </w:pPr>
  </w:style>
  <w:style w:type="paragraph" w:customStyle="1" w:styleId="NormalAgency">
    <w:name w:val="Normal (Agency)"/>
    <w:rsid w:val="00CC192E"/>
    <w:rPr>
      <w:rFonts w:ascii="Verdana" w:eastAsia="Verdana" w:hAnsi="Verdana" w:cs="Verdana"/>
      <w:sz w:val="18"/>
      <w:szCs w:val="18"/>
      <w:lang w:val="en-GB" w:eastAsia="en-GB"/>
    </w:rPr>
  </w:style>
  <w:style w:type="paragraph" w:customStyle="1" w:styleId="No-TOCheadingAgency">
    <w:name w:val="No-TOC heading (Agency)"/>
    <w:basedOn w:val="Normal"/>
    <w:next w:val="Normal"/>
    <w:rsid w:val="00CC192E"/>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CC192E"/>
    <w:rPr>
      <w:rFonts w:eastAsia="Times New Roman" w:cs="Times New Roman"/>
      <w:sz w:val="17"/>
      <w:lang w:eastAsia="en-GB"/>
    </w:rPr>
  </w:style>
  <w:style w:type="paragraph" w:customStyle="1" w:styleId="TablefirstrowAgency">
    <w:name w:val="Table first row (Agency)"/>
    <w:basedOn w:val="BodytextAgency"/>
    <w:semiHidden/>
    <w:rsid w:val="00CC192E"/>
    <w:pPr>
      <w:keepNext/>
    </w:pPr>
    <w:rPr>
      <w:rFonts w:eastAsia="Times New Roman"/>
      <w:b/>
    </w:rPr>
  </w:style>
  <w:style w:type="paragraph" w:customStyle="1" w:styleId="TableheadingAgency">
    <w:name w:val="Table heading (Agency)"/>
    <w:basedOn w:val="Normal"/>
    <w:next w:val="BodytextAgency"/>
    <w:semiHidden/>
    <w:rsid w:val="00CC192E"/>
    <w:pPr>
      <w:keepNext/>
      <w:numPr>
        <w:numId w:val="39"/>
      </w:numPr>
      <w:spacing w:before="240" w:after="120"/>
    </w:pPr>
  </w:style>
  <w:style w:type="paragraph" w:customStyle="1" w:styleId="TableheadingrowsAgency">
    <w:name w:val="Table heading rows (Agency)"/>
    <w:basedOn w:val="BodytextAgency"/>
    <w:semiHidden/>
    <w:rsid w:val="00CC192E"/>
    <w:pPr>
      <w:keepNext/>
    </w:pPr>
    <w:rPr>
      <w:rFonts w:eastAsia="Times New Roman"/>
      <w:b/>
    </w:rPr>
  </w:style>
  <w:style w:type="paragraph" w:customStyle="1" w:styleId="TabletextrowsAgency">
    <w:name w:val="Table text rows (Agency)"/>
    <w:basedOn w:val="Normal"/>
    <w:rsid w:val="00CC192E"/>
    <w:pPr>
      <w:spacing w:line="280" w:lineRule="exact"/>
    </w:pPr>
    <w:rPr>
      <w:rFonts w:eastAsia="Times New Roman"/>
    </w:rPr>
  </w:style>
  <w:style w:type="paragraph" w:customStyle="1" w:styleId="TableFigurenoteAgency">
    <w:name w:val="Table/Figure note (Agency)"/>
    <w:basedOn w:val="BodytextAgency"/>
    <w:next w:val="BodytextAgency"/>
    <w:rsid w:val="00CC192E"/>
    <w:pPr>
      <w:spacing w:before="60" w:after="240" w:line="240" w:lineRule="auto"/>
    </w:pPr>
    <w:rPr>
      <w:sz w:val="16"/>
      <w:szCs w:val="16"/>
    </w:rPr>
  </w:style>
  <w:style w:type="paragraph" w:styleId="TOC1">
    <w:name w:val="toc 1"/>
    <w:basedOn w:val="Normal"/>
    <w:next w:val="BodytextAgency"/>
    <w:semiHidden/>
    <w:rsid w:val="00CC192E"/>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CC192E"/>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CC192E"/>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CC192E"/>
    <w:pPr>
      <w:tabs>
        <w:tab w:val="right" w:leader="dot" w:pos="9401"/>
      </w:tabs>
      <w:spacing w:after="57" w:line="240" w:lineRule="atLeast"/>
    </w:pPr>
    <w:rPr>
      <w:noProof/>
      <w:sz w:val="20"/>
    </w:rPr>
  </w:style>
  <w:style w:type="paragraph" w:styleId="TOC5">
    <w:name w:val="toc 5"/>
    <w:basedOn w:val="Normal"/>
    <w:next w:val="BodytextAgency"/>
    <w:semiHidden/>
    <w:rsid w:val="00CC192E"/>
    <w:pPr>
      <w:tabs>
        <w:tab w:val="right" w:leader="dot" w:pos="9401"/>
      </w:tabs>
      <w:spacing w:after="57" w:line="240" w:lineRule="atLeast"/>
    </w:pPr>
    <w:rPr>
      <w:noProof/>
      <w:sz w:val="20"/>
    </w:rPr>
  </w:style>
  <w:style w:type="paragraph" w:styleId="TOC6">
    <w:name w:val="toc 6"/>
    <w:basedOn w:val="Normal"/>
    <w:next w:val="BodytextAgency"/>
    <w:autoRedefine/>
    <w:semiHidden/>
    <w:rsid w:val="00CC192E"/>
    <w:pPr>
      <w:spacing w:after="57" w:line="240" w:lineRule="exact"/>
    </w:pPr>
    <w:rPr>
      <w:rFonts w:eastAsia="Times New Roman"/>
    </w:rPr>
  </w:style>
  <w:style w:type="paragraph" w:styleId="TOC7">
    <w:name w:val="toc 7"/>
    <w:basedOn w:val="Normal"/>
    <w:next w:val="BodytextAgency"/>
    <w:semiHidden/>
    <w:rsid w:val="00CC192E"/>
    <w:pPr>
      <w:spacing w:after="57" w:line="240" w:lineRule="exact"/>
    </w:pPr>
    <w:rPr>
      <w:rFonts w:eastAsia="Times New Roman"/>
    </w:rPr>
  </w:style>
  <w:style w:type="paragraph" w:styleId="TOC8">
    <w:name w:val="toc 8"/>
    <w:basedOn w:val="Normal"/>
    <w:next w:val="BodytextAgency"/>
    <w:semiHidden/>
    <w:rsid w:val="00CC192E"/>
    <w:pPr>
      <w:spacing w:after="57" w:line="240" w:lineRule="exact"/>
    </w:pPr>
    <w:rPr>
      <w:rFonts w:eastAsia="Times New Roman"/>
    </w:rPr>
  </w:style>
  <w:style w:type="paragraph" w:styleId="TOC9">
    <w:name w:val="toc 9"/>
    <w:basedOn w:val="Normal"/>
    <w:next w:val="BodytextAgency"/>
    <w:semiHidden/>
    <w:rsid w:val="00CC192E"/>
    <w:pPr>
      <w:spacing w:after="57" w:line="240" w:lineRule="exact"/>
    </w:pPr>
    <w:rPr>
      <w:rFonts w:eastAsia="Times New Roman"/>
    </w:rPr>
  </w:style>
  <w:style w:type="paragraph" w:styleId="BalloonText">
    <w:name w:val="Balloon Text"/>
    <w:basedOn w:val="Normal"/>
    <w:semiHidden/>
    <w:rsid w:val="00CC192E"/>
    <w:rPr>
      <w:rFonts w:ascii="Tahoma" w:hAnsi="Tahoma" w:cs="Tahoma"/>
      <w:sz w:val="16"/>
      <w:szCs w:val="16"/>
    </w:rPr>
  </w:style>
  <w:style w:type="paragraph" w:styleId="BlockText">
    <w:name w:val="Block Text"/>
    <w:basedOn w:val="Normal"/>
    <w:semiHidden/>
    <w:rsid w:val="00CC192E"/>
    <w:pPr>
      <w:spacing w:after="120"/>
      <w:ind w:left="1440" w:right="1440"/>
    </w:pPr>
  </w:style>
  <w:style w:type="paragraph" w:styleId="BodyText2">
    <w:name w:val="Body Text 2"/>
    <w:basedOn w:val="Normal"/>
    <w:semiHidden/>
    <w:rsid w:val="00CC192E"/>
    <w:pPr>
      <w:spacing w:after="120" w:line="480" w:lineRule="auto"/>
    </w:pPr>
  </w:style>
  <w:style w:type="paragraph" w:styleId="BodyText3">
    <w:name w:val="Body Text 3"/>
    <w:basedOn w:val="Normal"/>
    <w:semiHidden/>
    <w:rsid w:val="00CC192E"/>
    <w:pPr>
      <w:spacing w:after="120"/>
    </w:pPr>
    <w:rPr>
      <w:sz w:val="16"/>
      <w:szCs w:val="16"/>
    </w:rPr>
  </w:style>
  <w:style w:type="paragraph" w:styleId="BodyTextFirstIndent">
    <w:name w:val="Body Text First Indent"/>
    <w:basedOn w:val="BodyText"/>
    <w:semiHidden/>
    <w:rsid w:val="00CC192E"/>
    <w:pPr>
      <w:spacing w:after="120" w:line="240" w:lineRule="auto"/>
      <w:ind w:firstLine="210"/>
    </w:pPr>
  </w:style>
  <w:style w:type="paragraph" w:styleId="BodyTextIndent">
    <w:name w:val="Body Text Indent"/>
    <w:basedOn w:val="Normal"/>
    <w:semiHidden/>
    <w:rsid w:val="00CC192E"/>
    <w:pPr>
      <w:spacing w:after="120"/>
      <w:ind w:left="283"/>
    </w:pPr>
  </w:style>
  <w:style w:type="paragraph" w:styleId="BodyTextFirstIndent2">
    <w:name w:val="Body Text First Indent 2"/>
    <w:basedOn w:val="BodyTextIndent"/>
    <w:semiHidden/>
    <w:rsid w:val="00CC192E"/>
    <w:pPr>
      <w:ind w:firstLine="210"/>
    </w:pPr>
  </w:style>
  <w:style w:type="paragraph" w:styleId="BodyTextIndent2">
    <w:name w:val="Body Text Indent 2"/>
    <w:basedOn w:val="Normal"/>
    <w:semiHidden/>
    <w:rsid w:val="00CC192E"/>
    <w:pPr>
      <w:spacing w:after="120" w:line="480" w:lineRule="auto"/>
      <w:ind w:left="283"/>
    </w:pPr>
  </w:style>
  <w:style w:type="paragraph" w:styleId="BodyTextIndent3">
    <w:name w:val="Body Text Indent 3"/>
    <w:basedOn w:val="Normal"/>
    <w:semiHidden/>
    <w:rsid w:val="00CC192E"/>
    <w:pPr>
      <w:spacing w:after="120"/>
      <w:ind w:left="283"/>
    </w:pPr>
    <w:rPr>
      <w:sz w:val="16"/>
      <w:szCs w:val="16"/>
    </w:rPr>
  </w:style>
  <w:style w:type="paragraph" w:styleId="Caption">
    <w:name w:val="caption"/>
    <w:basedOn w:val="Normal"/>
    <w:next w:val="Normal"/>
    <w:qFormat/>
    <w:rsid w:val="00CC192E"/>
    <w:rPr>
      <w:b/>
      <w:bCs/>
      <w:sz w:val="20"/>
      <w:szCs w:val="20"/>
    </w:rPr>
  </w:style>
  <w:style w:type="paragraph" w:styleId="Closing">
    <w:name w:val="Closing"/>
    <w:basedOn w:val="Normal"/>
    <w:semiHidden/>
    <w:rsid w:val="00CC192E"/>
    <w:pPr>
      <w:ind w:left="4252"/>
    </w:pPr>
  </w:style>
  <w:style w:type="character" w:styleId="CommentReference">
    <w:name w:val="annotation reference"/>
    <w:semiHidden/>
    <w:rsid w:val="00CC192E"/>
    <w:rPr>
      <w:sz w:val="16"/>
      <w:szCs w:val="16"/>
    </w:rPr>
  </w:style>
  <w:style w:type="paragraph" w:styleId="CommentText">
    <w:name w:val="annotation text"/>
    <w:basedOn w:val="Normal"/>
    <w:semiHidden/>
    <w:rsid w:val="00CC192E"/>
    <w:rPr>
      <w:sz w:val="20"/>
      <w:szCs w:val="20"/>
    </w:rPr>
  </w:style>
  <w:style w:type="paragraph" w:styleId="CommentSubject">
    <w:name w:val="annotation subject"/>
    <w:basedOn w:val="CommentText"/>
    <w:next w:val="CommentText"/>
    <w:semiHidden/>
    <w:rsid w:val="00CC192E"/>
    <w:rPr>
      <w:b/>
      <w:bCs/>
    </w:rPr>
  </w:style>
  <w:style w:type="paragraph" w:styleId="Date">
    <w:name w:val="Date"/>
    <w:basedOn w:val="Normal"/>
    <w:next w:val="Normal"/>
    <w:semiHidden/>
    <w:rsid w:val="00CC192E"/>
  </w:style>
  <w:style w:type="paragraph" w:styleId="DocumentMap">
    <w:name w:val="Document Map"/>
    <w:basedOn w:val="Normal"/>
    <w:semiHidden/>
    <w:rsid w:val="00CC192E"/>
    <w:pPr>
      <w:shd w:val="clear" w:color="auto" w:fill="000080"/>
    </w:pPr>
    <w:rPr>
      <w:rFonts w:ascii="Tahoma" w:hAnsi="Tahoma" w:cs="Tahoma"/>
      <w:sz w:val="20"/>
      <w:szCs w:val="20"/>
    </w:rPr>
  </w:style>
  <w:style w:type="paragraph" w:styleId="E-mailSignature">
    <w:name w:val="E-mail Signature"/>
    <w:basedOn w:val="Normal"/>
    <w:semiHidden/>
    <w:rsid w:val="00CC192E"/>
  </w:style>
  <w:style w:type="character" w:styleId="Emphasis">
    <w:name w:val="Emphasis"/>
    <w:qFormat/>
    <w:rsid w:val="00CC192E"/>
    <w:rPr>
      <w:i/>
      <w:iCs/>
    </w:rPr>
  </w:style>
  <w:style w:type="paragraph" w:styleId="EnvelopeAddress">
    <w:name w:val="envelope address"/>
    <w:basedOn w:val="Normal"/>
    <w:semiHidden/>
    <w:rsid w:val="00CC192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C192E"/>
    <w:rPr>
      <w:rFonts w:ascii="Arial" w:hAnsi="Arial" w:cs="Arial"/>
      <w:sz w:val="20"/>
      <w:szCs w:val="20"/>
    </w:rPr>
  </w:style>
  <w:style w:type="character" w:styleId="FollowedHyperlink">
    <w:name w:val="FollowedHyperlink"/>
    <w:semiHidden/>
    <w:rsid w:val="00CC192E"/>
    <w:rPr>
      <w:color w:val="800080"/>
      <w:u w:val="single"/>
    </w:rPr>
  </w:style>
  <w:style w:type="character" w:styleId="HTMLAcronym">
    <w:name w:val="HTML Acronym"/>
    <w:basedOn w:val="DefaultParagraphFont"/>
    <w:semiHidden/>
    <w:rsid w:val="00CC192E"/>
  </w:style>
  <w:style w:type="paragraph" w:styleId="HTMLAddress">
    <w:name w:val="HTML Address"/>
    <w:basedOn w:val="Normal"/>
    <w:semiHidden/>
    <w:rsid w:val="00CC192E"/>
    <w:rPr>
      <w:i/>
      <w:iCs/>
    </w:rPr>
  </w:style>
  <w:style w:type="character" w:styleId="HTMLCite">
    <w:name w:val="HTML Cite"/>
    <w:semiHidden/>
    <w:rsid w:val="00CC192E"/>
    <w:rPr>
      <w:i/>
      <w:iCs/>
    </w:rPr>
  </w:style>
  <w:style w:type="character" w:styleId="HTMLCode">
    <w:name w:val="HTML Code"/>
    <w:semiHidden/>
    <w:rsid w:val="00CC192E"/>
    <w:rPr>
      <w:rFonts w:ascii="Courier New" w:hAnsi="Courier New" w:cs="Courier New"/>
      <w:sz w:val="20"/>
      <w:szCs w:val="20"/>
    </w:rPr>
  </w:style>
  <w:style w:type="character" w:styleId="HTMLDefinition">
    <w:name w:val="HTML Definition"/>
    <w:semiHidden/>
    <w:rsid w:val="00CC192E"/>
    <w:rPr>
      <w:i/>
      <w:iCs/>
    </w:rPr>
  </w:style>
  <w:style w:type="character" w:styleId="HTMLKeyboard">
    <w:name w:val="HTML Keyboard"/>
    <w:semiHidden/>
    <w:rsid w:val="00CC192E"/>
    <w:rPr>
      <w:rFonts w:ascii="Courier New" w:hAnsi="Courier New" w:cs="Courier New"/>
      <w:sz w:val="20"/>
      <w:szCs w:val="20"/>
    </w:rPr>
  </w:style>
  <w:style w:type="paragraph" w:styleId="HTMLPreformatted">
    <w:name w:val="HTML Preformatted"/>
    <w:basedOn w:val="Normal"/>
    <w:semiHidden/>
    <w:rsid w:val="00CC192E"/>
    <w:rPr>
      <w:rFonts w:ascii="Courier New" w:hAnsi="Courier New" w:cs="Courier New"/>
      <w:sz w:val="20"/>
      <w:szCs w:val="20"/>
    </w:rPr>
  </w:style>
  <w:style w:type="character" w:styleId="HTMLSample">
    <w:name w:val="HTML Sample"/>
    <w:semiHidden/>
    <w:rsid w:val="00CC192E"/>
    <w:rPr>
      <w:rFonts w:ascii="Courier New" w:hAnsi="Courier New" w:cs="Courier New"/>
    </w:rPr>
  </w:style>
  <w:style w:type="character" w:styleId="HTMLTypewriter">
    <w:name w:val="HTML Typewriter"/>
    <w:semiHidden/>
    <w:rsid w:val="00CC192E"/>
    <w:rPr>
      <w:rFonts w:ascii="Courier New" w:hAnsi="Courier New" w:cs="Courier New"/>
      <w:sz w:val="20"/>
      <w:szCs w:val="20"/>
    </w:rPr>
  </w:style>
  <w:style w:type="character" w:styleId="HTMLVariable">
    <w:name w:val="HTML Variable"/>
    <w:semiHidden/>
    <w:rsid w:val="00CC192E"/>
    <w:rPr>
      <w:i/>
      <w:iCs/>
    </w:rPr>
  </w:style>
  <w:style w:type="character" w:styleId="Hyperlink">
    <w:name w:val="Hyperlink"/>
    <w:semiHidden/>
    <w:rsid w:val="00CC192E"/>
    <w:rPr>
      <w:color w:val="0000FF"/>
      <w:u w:val="single"/>
    </w:rPr>
  </w:style>
  <w:style w:type="paragraph" w:styleId="Index1">
    <w:name w:val="index 1"/>
    <w:basedOn w:val="Normal"/>
    <w:next w:val="Normal"/>
    <w:semiHidden/>
    <w:rsid w:val="00CC192E"/>
    <w:pPr>
      <w:ind w:left="180" w:hanging="180"/>
    </w:pPr>
  </w:style>
  <w:style w:type="paragraph" w:styleId="Index2">
    <w:name w:val="index 2"/>
    <w:basedOn w:val="Normal"/>
    <w:next w:val="Normal"/>
    <w:semiHidden/>
    <w:rsid w:val="00CC192E"/>
    <w:pPr>
      <w:ind w:left="360" w:hanging="180"/>
    </w:pPr>
  </w:style>
  <w:style w:type="paragraph" w:styleId="Index3">
    <w:name w:val="index 3"/>
    <w:basedOn w:val="Normal"/>
    <w:next w:val="Normal"/>
    <w:semiHidden/>
    <w:rsid w:val="00CC192E"/>
    <w:pPr>
      <w:ind w:left="540" w:hanging="180"/>
    </w:pPr>
  </w:style>
  <w:style w:type="paragraph" w:styleId="Index4">
    <w:name w:val="index 4"/>
    <w:basedOn w:val="Normal"/>
    <w:next w:val="Normal"/>
    <w:semiHidden/>
    <w:rsid w:val="00CC192E"/>
    <w:pPr>
      <w:ind w:left="720" w:hanging="180"/>
    </w:pPr>
  </w:style>
  <w:style w:type="paragraph" w:styleId="Index5">
    <w:name w:val="index 5"/>
    <w:basedOn w:val="Normal"/>
    <w:next w:val="Normal"/>
    <w:semiHidden/>
    <w:rsid w:val="00CC192E"/>
    <w:pPr>
      <w:ind w:left="900" w:hanging="180"/>
    </w:pPr>
  </w:style>
  <w:style w:type="paragraph" w:styleId="Index6">
    <w:name w:val="index 6"/>
    <w:basedOn w:val="Normal"/>
    <w:next w:val="Normal"/>
    <w:semiHidden/>
    <w:rsid w:val="00CC192E"/>
    <w:pPr>
      <w:ind w:left="1080" w:hanging="180"/>
    </w:pPr>
  </w:style>
  <w:style w:type="paragraph" w:styleId="Index7">
    <w:name w:val="index 7"/>
    <w:basedOn w:val="Normal"/>
    <w:next w:val="Normal"/>
    <w:semiHidden/>
    <w:rsid w:val="00CC192E"/>
    <w:pPr>
      <w:ind w:left="1260" w:hanging="180"/>
    </w:pPr>
  </w:style>
  <w:style w:type="paragraph" w:styleId="Index8">
    <w:name w:val="index 8"/>
    <w:basedOn w:val="Normal"/>
    <w:next w:val="Normal"/>
    <w:semiHidden/>
    <w:rsid w:val="00CC192E"/>
    <w:pPr>
      <w:ind w:left="1440" w:hanging="180"/>
    </w:pPr>
  </w:style>
  <w:style w:type="paragraph" w:styleId="Index9">
    <w:name w:val="index 9"/>
    <w:basedOn w:val="Normal"/>
    <w:next w:val="Normal"/>
    <w:semiHidden/>
    <w:rsid w:val="00CC192E"/>
    <w:pPr>
      <w:ind w:left="1620" w:hanging="180"/>
    </w:pPr>
  </w:style>
  <w:style w:type="paragraph" w:styleId="IndexHeading">
    <w:name w:val="index heading"/>
    <w:basedOn w:val="Normal"/>
    <w:next w:val="Index1"/>
    <w:semiHidden/>
    <w:rsid w:val="00CC192E"/>
    <w:rPr>
      <w:rFonts w:ascii="Arial" w:hAnsi="Arial" w:cs="Arial"/>
      <w:b/>
      <w:bCs/>
    </w:rPr>
  </w:style>
  <w:style w:type="character" w:styleId="LineNumber">
    <w:name w:val="line number"/>
    <w:basedOn w:val="DefaultParagraphFont"/>
    <w:semiHidden/>
    <w:rsid w:val="00CC192E"/>
  </w:style>
  <w:style w:type="paragraph" w:styleId="List">
    <w:name w:val="List"/>
    <w:basedOn w:val="Normal"/>
    <w:semiHidden/>
    <w:rsid w:val="00CC192E"/>
    <w:pPr>
      <w:ind w:left="283" w:hanging="283"/>
    </w:pPr>
  </w:style>
  <w:style w:type="paragraph" w:styleId="List2">
    <w:name w:val="List 2"/>
    <w:basedOn w:val="Normal"/>
    <w:semiHidden/>
    <w:rsid w:val="00CC192E"/>
    <w:pPr>
      <w:ind w:left="566" w:hanging="283"/>
    </w:pPr>
  </w:style>
  <w:style w:type="paragraph" w:styleId="List3">
    <w:name w:val="List 3"/>
    <w:basedOn w:val="Normal"/>
    <w:semiHidden/>
    <w:rsid w:val="00CC192E"/>
    <w:pPr>
      <w:ind w:left="849" w:hanging="283"/>
    </w:pPr>
  </w:style>
  <w:style w:type="paragraph" w:styleId="List4">
    <w:name w:val="List 4"/>
    <w:basedOn w:val="Normal"/>
    <w:semiHidden/>
    <w:rsid w:val="00CC192E"/>
    <w:pPr>
      <w:ind w:left="1132" w:hanging="283"/>
    </w:pPr>
  </w:style>
  <w:style w:type="paragraph" w:styleId="List5">
    <w:name w:val="List 5"/>
    <w:basedOn w:val="Normal"/>
    <w:semiHidden/>
    <w:rsid w:val="00CC192E"/>
    <w:pPr>
      <w:ind w:left="1415" w:hanging="283"/>
    </w:pPr>
  </w:style>
  <w:style w:type="paragraph" w:styleId="ListBullet">
    <w:name w:val="List Bullet"/>
    <w:basedOn w:val="Normal"/>
    <w:semiHidden/>
    <w:rsid w:val="00CC192E"/>
    <w:pPr>
      <w:numPr>
        <w:numId w:val="17"/>
      </w:numPr>
    </w:pPr>
  </w:style>
  <w:style w:type="paragraph" w:styleId="ListBullet2">
    <w:name w:val="List Bullet 2"/>
    <w:basedOn w:val="Normal"/>
    <w:semiHidden/>
    <w:rsid w:val="00CC192E"/>
    <w:pPr>
      <w:numPr>
        <w:numId w:val="18"/>
      </w:numPr>
    </w:pPr>
  </w:style>
  <w:style w:type="paragraph" w:styleId="ListBullet3">
    <w:name w:val="List Bullet 3"/>
    <w:basedOn w:val="Normal"/>
    <w:semiHidden/>
    <w:rsid w:val="00CC192E"/>
    <w:pPr>
      <w:numPr>
        <w:numId w:val="19"/>
      </w:numPr>
    </w:pPr>
  </w:style>
  <w:style w:type="paragraph" w:styleId="ListBullet4">
    <w:name w:val="List Bullet 4"/>
    <w:basedOn w:val="Normal"/>
    <w:semiHidden/>
    <w:rsid w:val="00CC192E"/>
    <w:pPr>
      <w:numPr>
        <w:numId w:val="20"/>
      </w:numPr>
    </w:pPr>
  </w:style>
  <w:style w:type="paragraph" w:styleId="ListBullet5">
    <w:name w:val="List Bullet 5"/>
    <w:basedOn w:val="Normal"/>
    <w:semiHidden/>
    <w:rsid w:val="00CC192E"/>
    <w:pPr>
      <w:numPr>
        <w:numId w:val="21"/>
      </w:numPr>
    </w:pPr>
  </w:style>
  <w:style w:type="paragraph" w:styleId="ListContinue">
    <w:name w:val="List Continue"/>
    <w:basedOn w:val="Normal"/>
    <w:semiHidden/>
    <w:rsid w:val="00CC192E"/>
    <w:pPr>
      <w:spacing w:after="120"/>
      <w:ind w:left="283"/>
    </w:pPr>
  </w:style>
  <w:style w:type="paragraph" w:styleId="ListContinue2">
    <w:name w:val="List Continue 2"/>
    <w:basedOn w:val="Normal"/>
    <w:semiHidden/>
    <w:rsid w:val="00CC192E"/>
    <w:pPr>
      <w:spacing w:after="120"/>
      <w:ind w:left="566"/>
    </w:pPr>
  </w:style>
  <w:style w:type="paragraph" w:styleId="ListContinue3">
    <w:name w:val="List Continue 3"/>
    <w:basedOn w:val="Normal"/>
    <w:semiHidden/>
    <w:rsid w:val="00CC192E"/>
    <w:pPr>
      <w:spacing w:after="120"/>
      <w:ind w:left="849"/>
    </w:pPr>
  </w:style>
  <w:style w:type="paragraph" w:styleId="ListContinue4">
    <w:name w:val="List Continue 4"/>
    <w:basedOn w:val="Normal"/>
    <w:semiHidden/>
    <w:rsid w:val="00CC192E"/>
    <w:pPr>
      <w:spacing w:after="120"/>
      <w:ind w:left="1132"/>
    </w:pPr>
  </w:style>
  <w:style w:type="paragraph" w:styleId="ListContinue5">
    <w:name w:val="List Continue 5"/>
    <w:basedOn w:val="Normal"/>
    <w:semiHidden/>
    <w:rsid w:val="00CC192E"/>
    <w:pPr>
      <w:spacing w:after="120"/>
      <w:ind w:left="1415"/>
    </w:pPr>
  </w:style>
  <w:style w:type="paragraph" w:styleId="ListNumber">
    <w:name w:val="List Number"/>
    <w:basedOn w:val="Normal"/>
    <w:semiHidden/>
    <w:rsid w:val="00CC192E"/>
    <w:pPr>
      <w:numPr>
        <w:numId w:val="22"/>
      </w:numPr>
    </w:pPr>
  </w:style>
  <w:style w:type="paragraph" w:styleId="ListNumber2">
    <w:name w:val="List Number 2"/>
    <w:basedOn w:val="Normal"/>
    <w:semiHidden/>
    <w:rsid w:val="00CC192E"/>
    <w:pPr>
      <w:numPr>
        <w:numId w:val="23"/>
      </w:numPr>
    </w:pPr>
  </w:style>
  <w:style w:type="paragraph" w:styleId="ListNumber3">
    <w:name w:val="List Number 3"/>
    <w:basedOn w:val="Normal"/>
    <w:semiHidden/>
    <w:rsid w:val="00CC192E"/>
    <w:pPr>
      <w:numPr>
        <w:numId w:val="24"/>
      </w:numPr>
    </w:pPr>
  </w:style>
  <w:style w:type="paragraph" w:styleId="ListNumber4">
    <w:name w:val="List Number 4"/>
    <w:basedOn w:val="Normal"/>
    <w:semiHidden/>
    <w:rsid w:val="00CC192E"/>
    <w:pPr>
      <w:numPr>
        <w:numId w:val="25"/>
      </w:numPr>
    </w:pPr>
  </w:style>
  <w:style w:type="paragraph" w:styleId="ListNumber5">
    <w:name w:val="List Number 5"/>
    <w:basedOn w:val="Normal"/>
    <w:semiHidden/>
    <w:rsid w:val="00CC192E"/>
    <w:pPr>
      <w:numPr>
        <w:numId w:val="26"/>
      </w:numPr>
    </w:pPr>
  </w:style>
  <w:style w:type="paragraph" w:styleId="MacroText">
    <w:name w:val="macro"/>
    <w:semiHidden/>
    <w:rsid w:val="00CC19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CC19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CC192E"/>
    <w:rPr>
      <w:rFonts w:ascii="Times New Roman" w:hAnsi="Times New Roman" w:cs="Times New Roman"/>
      <w:sz w:val="24"/>
      <w:szCs w:val="24"/>
    </w:rPr>
  </w:style>
  <w:style w:type="paragraph" w:styleId="NormalIndent">
    <w:name w:val="Normal Indent"/>
    <w:basedOn w:val="Normal"/>
    <w:semiHidden/>
    <w:rsid w:val="00CC192E"/>
    <w:pPr>
      <w:ind w:left="720"/>
    </w:pPr>
  </w:style>
  <w:style w:type="paragraph" w:styleId="NoteHeading">
    <w:name w:val="Note Heading"/>
    <w:basedOn w:val="Normal"/>
    <w:next w:val="Normal"/>
    <w:semiHidden/>
    <w:rsid w:val="00CC192E"/>
  </w:style>
  <w:style w:type="paragraph" w:styleId="PlainText">
    <w:name w:val="Plain Text"/>
    <w:basedOn w:val="Normal"/>
    <w:semiHidden/>
    <w:rsid w:val="00CC192E"/>
    <w:rPr>
      <w:rFonts w:ascii="Courier New" w:hAnsi="Courier New" w:cs="Courier New"/>
      <w:sz w:val="20"/>
      <w:szCs w:val="20"/>
    </w:rPr>
  </w:style>
  <w:style w:type="paragraph" w:styleId="Salutation">
    <w:name w:val="Salutation"/>
    <w:basedOn w:val="Normal"/>
    <w:next w:val="Normal"/>
    <w:semiHidden/>
    <w:rsid w:val="00CC192E"/>
  </w:style>
  <w:style w:type="paragraph" w:styleId="Signature">
    <w:name w:val="Signature"/>
    <w:basedOn w:val="Normal"/>
    <w:semiHidden/>
    <w:rsid w:val="00CC192E"/>
    <w:pPr>
      <w:ind w:left="4252"/>
    </w:pPr>
  </w:style>
  <w:style w:type="character" w:styleId="Strong">
    <w:name w:val="Strong"/>
    <w:qFormat/>
    <w:rsid w:val="00CC192E"/>
    <w:rPr>
      <w:b/>
      <w:bCs/>
    </w:rPr>
  </w:style>
  <w:style w:type="paragraph" w:styleId="Subtitle">
    <w:name w:val="Subtitle"/>
    <w:basedOn w:val="Normal"/>
    <w:qFormat/>
    <w:rsid w:val="00CC192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C192E"/>
    <w:pPr>
      <w:ind w:left="180" w:hanging="180"/>
    </w:pPr>
  </w:style>
  <w:style w:type="paragraph" w:styleId="TableofFigures">
    <w:name w:val="table of figures"/>
    <w:basedOn w:val="Normal"/>
    <w:next w:val="Normal"/>
    <w:semiHidden/>
    <w:rsid w:val="00CC192E"/>
  </w:style>
  <w:style w:type="paragraph" w:styleId="Title">
    <w:name w:val="Title"/>
    <w:basedOn w:val="Normal"/>
    <w:qFormat/>
    <w:rsid w:val="00CC192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C192E"/>
    <w:pPr>
      <w:spacing w:before="120"/>
    </w:pPr>
    <w:rPr>
      <w:rFonts w:ascii="Arial" w:hAnsi="Arial" w:cs="Arial"/>
      <w:b/>
      <w:bCs/>
      <w:sz w:val="24"/>
      <w:szCs w:val="24"/>
    </w:rPr>
  </w:style>
  <w:style w:type="character" w:customStyle="1" w:styleId="DocsubtitleAgencyChar">
    <w:name w:val="Doc subtitle (Agency) Char"/>
    <w:rsid w:val="00CC192E"/>
    <w:rPr>
      <w:rFonts w:ascii="Verdana" w:eastAsia="Verdana" w:hAnsi="Verdana" w:cs="Verdana"/>
      <w:sz w:val="24"/>
      <w:szCs w:val="24"/>
      <w:lang w:val="en-GB" w:eastAsia="en-GB" w:bidi="ar-SA"/>
    </w:rPr>
  </w:style>
  <w:style w:type="character" w:customStyle="1" w:styleId="BodytextAgencyChar">
    <w:name w:val="Body text (Agency) Char"/>
    <w:rsid w:val="00CC192E"/>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CC192E"/>
    <w:rPr>
      <w:b w:val="0"/>
      <w:i/>
      <w:iCs/>
      <w:color w:val="7BBBB2"/>
    </w:rPr>
  </w:style>
  <w:style w:type="paragraph" w:customStyle="1" w:styleId="ColorfulList-Accent11">
    <w:name w:val="Colorful List - Accent 11"/>
    <w:basedOn w:val="Normal"/>
    <w:uiPriority w:val="34"/>
    <w:qFormat/>
    <w:rsid w:val="0064725D"/>
    <w:pPr>
      <w:ind w:left="720"/>
      <w:contextualSpacing/>
    </w:pPr>
    <w:rPr>
      <w:rFonts w:ascii="Times New Roman" w:eastAsia="Times New Roman" w:hAnsi="Times New Roman" w:cs="Times New Roman"/>
      <w:sz w:val="22"/>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92E"/>
    <w:rPr>
      <w:rFonts w:ascii="Verdana" w:hAnsi="Verdana" w:cs="Verdana"/>
      <w:sz w:val="18"/>
      <w:szCs w:val="18"/>
      <w:lang w:val="en-GB" w:eastAsia="zh-CN"/>
    </w:rPr>
  </w:style>
  <w:style w:type="paragraph" w:styleId="Heading1">
    <w:name w:val="heading 1"/>
    <w:basedOn w:val="No-numheading1Agency"/>
    <w:next w:val="BodytextAgency"/>
    <w:qFormat/>
    <w:rsid w:val="00CC192E"/>
    <w:rPr>
      <w:noProof/>
    </w:rPr>
  </w:style>
  <w:style w:type="paragraph" w:styleId="Heading2">
    <w:name w:val="heading 2"/>
    <w:basedOn w:val="No-numheading2Agency"/>
    <w:next w:val="BodytextAgency"/>
    <w:qFormat/>
    <w:rsid w:val="00CC192E"/>
  </w:style>
  <w:style w:type="paragraph" w:styleId="Heading3">
    <w:name w:val="heading 3"/>
    <w:basedOn w:val="No-numheading3Agency"/>
    <w:next w:val="BodytextAgency"/>
    <w:qFormat/>
    <w:rsid w:val="00CC192E"/>
  </w:style>
  <w:style w:type="paragraph" w:styleId="Heading4">
    <w:name w:val="heading 4"/>
    <w:basedOn w:val="No-numheading4Agency"/>
    <w:next w:val="BodytextAgency"/>
    <w:qFormat/>
    <w:rsid w:val="00CC192E"/>
  </w:style>
  <w:style w:type="paragraph" w:styleId="Heading5">
    <w:name w:val="heading 5"/>
    <w:basedOn w:val="Normal"/>
    <w:next w:val="Normal"/>
    <w:qFormat/>
    <w:rsid w:val="00CC192E"/>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CC192E"/>
  </w:style>
  <w:style w:type="paragraph" w:styleId="Heading7">
    <w:name w:val="heading 7"/>
    <w:basedOn w:val="No-numheading7Agency"/>
    <w:next w:val="BodytextAgency"/>
    <w:qFormat/>
    <w:rsid w:val="00CC192E"/>
  </w:style>
  <w:style w:type="paragraph" w:styleId="Heading8">
    <w:name w:val="heading 8"/>
    <w:basedOn w:val="No-numheading8Agency"/>
    <w:next w:val="BodytextAgency"/>
    <w:qFormat/>
    <w:rsid w:val="00CC192E"/>
  </w:style>
  <w:style w:type="paragraph" w:styleId="Heading9">
    <w:name w:val="heading 9"/>
    <w:basedOn w:val="No-numheading9Agency"/>
    <w:next w:val="BodytextAgency"/>
    <w:qFormat/>
    <w:rsid w:val="00CC1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CC192E"/>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CC192E"/>
    <w:pPr>
      <w:spacing w:after="140" w:line="280" w:lineRule="atLeast"/>
    </w:pPr>
    <w:rPr>
      <w:rFonts w:eastAsia="Verdana"/>
      <w:lang w:eastAsia="en-GB"/>
    </w:rPr>
  </w:style>
  <w:style w:type="paragraph" w:customStyle="1" w:styleId="No-numheading2Agency">
    <w:name w:val="No-num heading 2 (Agency)"/>
    <w:basedOn w:val="Normal"/>
    <w:next w:val="BodytextAgency"/>
    <w:rsid w:val="00CC192E"/>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CC192E"/>
    <w:pPr>
      <w:numPr>
        <w:ilvl w:val="0"/>
        <w:numId w:val="0"/>
      </w:numPr>
    </w:pPr>
  </w:style>
  <w:style w:type="paragraph" w:customStyle="1" w:styleId="Heading3Agency">
    <w:name w:val="Heading 3 (Agency)"/>
    <w:basedOn w:val="Normal"/>
    <w:next w:val="BodytextAgency"/>
    <w:rsid w:val="00CC192E"/>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CC192E"/>
    <w:pPr>
      <w:numPr>
        <w:ilvl w:val="0"/>
        <w:numId w:val="0"/>
      </w:numPr>
    </w:pPr>
  </w:style>
  <w:style w:type="paragraph" w:customStyle="1" w:styleId="Heading4Agency">
    <w:name w:val="Heading 4 (Agency)"/>
    <w:basedOn w:val="Heading3Agency"/>
    <w:next w:val="BodytextAgency"/>
    <w:semiHidden/>
    <w:rsid w:val="00CC192E"/>
    <w:pPr>
      <w:numPr>
        <w:ilvl w:val="3"/>
      </w:numPr>
      <w:outlineLvl w:val="3"/>
    </w:pPr>
    <w:rPr>
      <w:i/>
      <w:sz w:val="18"/>
      <w:szCs w:val="18"/>
    </w:rPr>
  </w:style>
  <w:style w:type="paragraph" w:customStyle="1" w:styleId="No-numheading6Agency">
    <w:name w:val="No-num heading 6 (Agency)"/>
    <w:basedOn w:val="No-numheading5Agency"/>
    <w:next w:val="BodytextAgency"/>
    <w:semiHidden/>
    <w:rsid w:val="00CC192E"/>
    <w:pPr>
      <w:outlineLvl w:val="5"/>
    </w:pPr>
  </w:style>
  <w:style w:type="paragraph" w:customStyle="1" w:styleId="No-numheading5Agency">
    <w:name w:val="No-num heading 5 (Agency)"/>
    <w:basedOn w:val="Heading5Agency"/>
    <w:next w:val="BodytextAgency"/>
    <w:semiHidden/>
    <w:rsid w:val="00CC192E"/>
    <w:pPr>
      <w:numPr>
        <w:ilvl w:val="0"/>
        <w:numId w:val="0"/>
      </w:numPr>
    </w:pPr>
  </w:style>
  <w:style w:type="paragraph" w:customStyle="1" w:styleId="Heading5Agency">
    <w:name w:val="Heading 5 (Agency)"/>
    <w:basedOn w:val="Heading4Agency"/>
    <w:next w:val="BodytextAgency"/>
    <w:semiHidden/>
    <w:rsid w:val="00CC192E"/>
    <w:pPr>
      <w:numPr>
        <w:ilvl w:val="4"/>
      </w:numPr>
      <w:outlineLvl w:val="4"/>
    </w:pPr>
    <w:rPr>
      <w:i w:val="0"/>
    </w:rPr>
  </w:style>
  <w:style w:type="paragraph" w:customStyle="1" w:styleId="No-numheading7Agency">
    <w:name w:val="No-num heading 7 (Agency)"/>
    <w:basedOn w:val="No-numheading6Agency"/>
    <w:next w:val="BodytextAgency"/>
    <w:semiHidden/>
    <w:rsid w:val="00CC192E"/>
    <w:pPr>
      <w:outlineLvl w:val="6"/>
    </w:pPr>
  </w:style>
  <w:style w:type="paragraph" w:customStyle="1" w:styleId="No-numheading8Agency">
    <w:name w:val="No-num heading 8 (Agency)"/>
    <w:basedOn w:val="No-numheading7Agency"/>
    <w:next w:val="BodytextAgency"/>
    <w:semiHidden/>
    <w:rsid w:val="00CC192E"/>
    <w:pPr>
      <w:outlineLvl w:val="7"/>
    </w:pPr>
  </w:style>
  <w:style w:type="paragraph" w:customStyle="1" w:styleId="No-numheading9Agency">
    <w:name w:val="No-num heading 9 (Agency)"/>
    <w:basedOn w:val="No-numheading8Agency"/>
    <w:next w:val="BodytextAgency"/>
    <w:semiHidden/>
    <w:rsid w:val="00CC192E"/>
    <w:pPr>
      <w:outlineLvl w:val="8"/>
    </w:pPr>
  </w:style>
  <w:style w:type="paragraph" w:styleId="Footer">
    <w:name w:val="footer"/>
    <w:basedOn w:val="Normal"/>
    <w:semiHidden/>
    <w:rsid w:val="00CC192E"/>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CC192E"/>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CC192E"/>
  </w:style>
  <w:style w:type="paragraph" w:customStyle="1" w:styleId="FooterAgency">
    <w:name w:val="Footer (Agency)"/>
    <w:basedOn w:val="Normal"/>
    <w:semiHidden/>
    <w:rsid w:val="00CC192E"/>
    <w:rPr>
      <w:rFonts w:eastAsia="Verdana"/>
      <w:color w:val="6D6F71"/>
      <w:sz w:val="14"/>
      <w:szCs w:val="14"/>
      <w:lang w:eastAsia="en-GB"/>
    </w:rPr>
  </w:style>
  <w:style w:type="paragraph" w:customStyle="1" w:styleId="FooterblueAgency">
    <w:name w:val="Footer blue (Agency)"/>
    <w:basedOn w:val="Normal"/>
    <w:semiHidden/>
    <w:rsid w:val="00CC192E"/>
    <w:rPr>
      <w:rFonts w:eastAsia="Verdana"/>
      <w:b/>
      <w:color w:val="003399"/>
      <w:sz w:val="13"/>
      <w:szCs w:val="14"/>
      <w:lang w:eastAsia="en-GB"/>
    </w:rPr>
  </w:style>
  <w:style w:type="character" w:customStyle="1" w:styleId="FooterAgencyCharChar">
    <w:name w:val="Footer (Agency) Char Char"/>
    <w:semiHidden/>
    <w:rsid w:val="00CC192E"/>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CC192E"/>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CC192E"/>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CC192E"/>
    <w:rPr>
      <w:rFonts w:ascii="Verdana" w:eastAsia="Verdana" w:hAnsi="Verdana" w:cs="Verdana"/>
      <w:b/>
      <w:color w:val="003399"/>
      <w:sz w:val="13"/>
      <w:szCs w:val="14"/>
      <w:lang w:val="en-GB" w:eastAsia="en-GB" w:bidi="ar-SA"/>
    </w:rPr>
  </w:style>
  <w:style w:type="paragraph" w:styleId="BodyText">
    <w:name w:val="Body Text"/>
    <w:basedOn w:val="Normal"/>
    <w:semiHidden/>
    <w:rsid w:val="00CC192E"/>
    <w:pPr>
      <w:spacing w:after="140" w:line="280" w:lineRule="atLeast"/>
    </w:pPr>
  </w:style>
  <w:style w:type="paragraph" w:customStyle="1" w:styleId="DisclaimerAgency">
    <w:name w:val="Disclaimer (Agency)"/>
    <w:basedOn w:val="Normal"/>
    <w:semiHidden/>
    <w:rsid w:val="00CC192E"/>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CC192E"/>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CC192E"/>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CC192E"/>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CC192E"/>
    <w:rPr>
      <w:rFonts w:ascii="Verdana" w:hAnsi="Verdana"/>
      <w:vertAlign w:val="superscript"/>
    </w:rPr>
  </w:style>
  <w:style w:type="character" w:customStyle="1" w:styleId="EndnotereferenceAgency">
    <w:name w:val="Endnote reference (Agency)"/>
    <w:semiHidden/>
    <w:rsid w:val="00CC192E"/>
    <w:rPr>
      <w:rFonts w:ascii="Verdana" w:hAnsi="Verdana"/>
      <w:vertAlign w:val="superscript"/>
    </w:rPr>
  </w:style>
  <w:style w:type="paragraph" w:styleId="EndnoteText">
    <w:name w:val="endnote text"/>
    <w:basedOn w:val="Normal"/>
    <w:semiHidden/>
    <w:rsid w:val="00CC192E"/>
    <w:rPr>
      <w:rFonts w:eastAsia="Verdana"/>
      <w:sz w:val="15"/>
      <w:szCs w:val="15"/>
      <w:lang w:eastAsia="en-GB"/>
    </w:rPr>
  </w:style>
  <w:style w:type="paragraph" w:customStyle="1" w:styleId="EndnotetextAgency">
    <w:name w:val="Endnote text (Agency)"/>
    <w:basedOn w:val="Normal"/>
    <w:semiHidden/>
    <w:rsid w:val="00CC192E"/>
    <w:rPr>
      <w:rFonts w:eastAsia="Verdana"/>
      <w:sz w:val="15"/>
      <w:lang w:eastAsia="en-GB"/>
    </w:rPr>
  </w:style>
  <w:style w:type="paragraph" w:customStyle="1" w:styleId="FigureAgency">
    <w:name w:val="Figure (Agency)"/>
    <w:basedOn w:val="Normal"/>
    <w:next w:val="BodytextAgency"/>
    <w:semiHidden/>
    <w:rsid w:val="00CC192E"/>
    <w:pPr>
      <w:jc w:val="center"/>
    </w:pPr>
  </w:style>
  <w:style w:type="paragraph" w:customStyle="1" w:styleId="FigureheadingAgency">
    <w:name w:val="Figure heading (Agency)"/>
    <w:basedOn w:val="Normal"/>
    <w:next w:val="FigureAgency"/>
    <w:semiHidden/>
    <w:rsid w:val="00CC192E"/>
    <w:pPr>
      <w:keepNext/>
      <w:numPr>
        <w:numId w:val="28"/>
      </w:numPr>
      <w:spacing w:before="240" w:after="120"/>
    </w:pPr>
  </w:style>
  <w:style w:type="character" w:styleId="FootnoteReference">
    <w:name w:val="footnote reference"/>
    <w:semiHidden/>
    <w:rsid w:val="00CC192E"/>
    <w:rPr>
      <w:rFonts w:ascii="Verdana" w:hAnsi="Verdana"/>
      <w:vertAlign w:val="superscript"/>
    </w:rPr>
  </w:style>
  <w:style w:type="character" w:customStyle="1" w:styleId="FootnotereferenceAgency">
    <w:name w:val="Footnote reference (Agency)"/>
    <w:semiHidden/>
    <w:rsid w:val="00CC192E"/>
    <w:rPr>
      <w:rFonts w:ascii="Verdana" w:hAnsi="Verdana"/>
      <w:color w:val="auto"/>
      <w:vertAlign w:val="superscript"/>
    </w:rPr>
  </w:style>
  <w:style w:type="paragraph" w:styleId="FootnoteText">
    <w:name w:val="footnote text"/>
    <w:basedOn w:val="Normal"/>
    <w:semiHidden/>
    <w:rsid w:val="00CC192E"/>
    <w:rPr>
      <w:rFonts w:eastAsia="Verdana"/>
      <w:sz w:val="15"/>
      <w:szCs w:val="20"/>
      <w:lang w:eastAsia="en-GB"/>
    </w:rPr>
  </w:style>
  <w:style w:type="paragraph" w:customStyle="1" w:styleId="FootnotetextAgency">
    <w:name w:val="Footnote text (Agency)"/>
    <w:basedOn w:val="Normal"/>
    <w:semiHidden/>
    <w:rsid w:val="00CC192E"/>
    <w:rPr>
      <w:rFonts w:eastAsia="Verdana"/>
      <w:sz w:val="15"/>
      <w:lang w:eastAsia="en-GB"/>
    </w:rPr>
  </w:style>
  <w:style w:type="paragraph" w:customStyle="1" w:styleId="HeaderAgency">
    <w:name w:val="Header (Agency)"/>
    <w:basedOn w:val="Normal"/>
    <w:semiHidden/>
    <w:rsid w:val="00CC192E"/>
    <w:rPr>
      <w:rFonts w:eastAsia="Verdana"/>
      <w:lang w:eastAsia="en-GB"/>
    </w:rPr>
  </w:style>
  <w:style w:type="paragraph" w:customStyle="1" w:styleId="Heading1Agency">
    <w:name w:val="Heading 1 (Agency)"/>
    <w:basedOn w:val="Normal"/>
    <w:next w:val="BodytextAgency"/>
    <w:rsid w:val="00CC192E"/>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CC192E"/>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CC192E"/>
    <w:pPr>
      <w:numPr>
        <w:ilvl w:val="5"/>
      </w:numPr>
      <w:outlineLvl w:val="5"/>
    </w:pPr>
  </w:style>
  <w:style w:type="paragraph" w:customStyle="1" w:styleId="Heading7Agency">
    <w:name w:val="Heading 7 (Agency)"/>
    <w:basedOn w:val="Heading6Agency"/>
    <w:next w:val="BodytextAgency"/>
    <w:semiHidden/>
    <w:rsid w:val="00CC192E"/>
    <w:pPr>
      <w:numPr>
        <w:ilvl w:val="6"/>
      </w:numPr>
      <w:outlineLvl w:val="6"/>
    </w:pPr>
  </w:style>
  <w:style w:type="paragraph" w:customStyle="1" w:styleId="Heading8Agency">
    <w:name w:val="Heading 8 (Agency)"/>
    <w:basedOn w:val="Heading7Agency"/>
    <w:next w:val="BodytextAgency"/>
    <w:semiHidden/>
    <w:rsid w:val="00CC192E"/>
    <w:pPr>
      <w:numPr>
        <w:ilvl w:val="7"/>
      </w:numPr>
      <w:outlineLvl w:val="7"/>
    </w:pPr>
  </w:style>
  <w:style w:type="paragraph" w:customStyle="1" w:styleId="Heading9Agency">
    <w:name w:val="Heading 9 (Agency)"/>
    <w:basedOn w:val="Heading8Agency"/>
    <w:next w:val="BodytextAgency"/>
    <w:semiHidden/>
    <w:rsid w:val="00CC192E"/>
    <w:pPr>
      <w:numPr>
        <w:ilvl w:val="8"/>
      </w:numPr>
      <w:outlineLvl w:val="8"/>
    </w:pPr>
  </w:style>
  <w:style w:type="paragraph" w:customStyle="1" w:styleId="NormalAgency">
    <w:name w:val="Normal (Agency)"/>
    <w:rsid w:val="00CC192E"/>
    <w:rPr>
      <w:rFonts w:ascii="Verdana" w:eastAsia="Verdana" w:hAnsi="Verdana" w:cs="Verdana"/>
      <w:sz w:val="18"/>
      <w:szCs w:val="18"/>
      <w:lang w:val="en-GB" w:eastAsia="en-GB"/>
    </w:rPr>
  </w:style>
  <w:style w:type="paragraph" w:customStyle="1" w:styleId="No-TOCheadingAgency">
    <w:name w:val="No-TOC heading (Agency)"/>
    <w:basedOn w:val="Normal"/>
    <w:next w:val="Normal"/>
    <w:rsid w:val="00CC192E"/>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CC192E"/>
    <w:rPr>
      <w:rFonts w:eastAsia="Times New Roman" w:cs="Times New Roman"/>
      <w:sz w:val="17"/>
      <w:lang w:eastAsia="en-GB"/>
    </w:rPr>
  </w:style>
  <w:style w:type="paragraph" w:customStyle="1" w:styleId="TablefirstrowAgency">
    <w:name w:val="Table first row (Agency)"/>
    <w:basedOn w:val="BodytextAgency"/>
    <w:semiHidden/>
    <w:rsid w:val="00CC192E"/>
    <w:pPr>
      <w:keepNext/>
    </w:pPr>
    <w:rPr>
      <w:rFonts w:eastAsia="Times New Roman"/>
      <w:b/>
    </w:rPr>
  </w:style>
  <w:style w:type="paragraph" w:customStyle="1" w:styleId="TableheadingAgency">
    <w:name w:val="Table heading (Agency)"/>
    <w:basedOn w:val="Normal"/>
    <w:next w:val="BodytextAgency"/>
    <w:semiHidden/>
    <w:rsid w:val="00CC192E"/>
    <w:pPr>
      <w:keepNext/>
      <w:numPr>
        <w:numId w:val="39"/>
      </w:numPr>
      <w:spacing w:before="240" w:after="120"/>
    </w:pPr>
  </w:style>
  <w:style w:type="paragraph" w:customStyle="1" w:styleId="TableheadingrowsAgency">
    <w:name w:val="Table heading rows (Agency)"/>
    <w:basedOn w:val="BodytextAgency"/>
    <w:semiHidden/>
    <w:rsid w:val="00CC192E"/>
    <w:pPr>
      <w:keepNext/>
    </w:pPr>
    <w:rPr>
      <w:rFonts w:eastAsia="Times New Roman"/>
      <w:b/>
    </w:rPr>
  </w:style>
  <w:style w:type="paragraph" w:customStyle="1" w:styleId="TabletextrowsAgency">
    <w:name w:val="Table text rows (Agency)"/>
    <w:basedOn w:val="Normal"/>
    <w:rsid w:val="00CC192E"/>
    <w:pPr>
      <w:spacing w:line="280" w:lineRule="exact"/>
    </w:pPr>
    <w:rPr>
      <w:rFonts w:eastAsia="Times New Roman"/>
    </w:rPr>
  </w:style>
  <w:style w:type="paragraph" w:customStyle="1" w:styleId="TableFigurenoteAgency">
    <w:name w:val="Table/Figure note (Agency)"/>
    <w:basedOn w:val="BodytextAgency"/>
    <w:next w:val="BodytextAgency"/>
    <w:rsid w:val="00CC192E"/>
    <w:pPr>
      <w:spacing w:before="60" w:after="240" w:line="240" w:lineRule="auto"/>
    </w:pPr>
    <w:rPr>
      <w:sz w:val="16"/>
      <w:szCs w:val="16"/>
    </w:rPr>
  </w:style>
  <w:style w:type="paragraph" w:styleId="TOC1">
    <w:name w:val="toc 1"/>
    <w:basedOn w:val="Normal"/>
    <w:next w:val="BodytextAgency"/>
    <w:semiHidden/>
    <w:rsid w:val="00CC192E"/>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CC192E"/>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CC192E"/>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CC192E"/>
    <w:pPr>
      <w:tabs>
        <w:tab w:val="right" w:leader="dot" w:pos="9401"/>
      </w:tabs>
      <w:spacing w:after="57" w:line="240" w:lineRule="atLeast"/>
    </w:pPr>
    <w:rPr>
      <w:noProof/>
      <w:sz w:val="20"/>
    </w:rPr>
  </w:style>
  <w:style w:type="paragraph" w:styleId="TOC5">
    <w:name w:val="toc 5"/>
    <w:basedOn w:val="Normal"/>
    <w:next w:val="BodytextAgency"/>
    <w:semiHidden/>
    <w:rsid w:val="00CC192E"/>
    <w:pPr>
      <w:tabs>
        <w:tab w:val="right" w:leader="dot" w:pos="9401"/>
      </w:tabs>
      <w:spacing w:after="57" w:line="240" w:lineRule="atLeast"/>
    </w:pPr>
    <w:rPr>
      <w:noProof/>
      <w:sz w:val="20"/>
    </w:rPr>
  </w:style>
  <w:style w:type="paragraph" w:styleId="TOC6">
    <w:name w:val="toc 6"/>
    <w:basedOn w:val="Normal"/>
    <w:next w:val="BodytextAgency"/>
    <w:autoRedefine/>
    <w:semiHidden/>
    <w:rsid w:val="00CC192E"/>
    <w:pPr>
      <w:spacing w:after="57" w:line="240" w:lineRule="exact"/>
    </w:pPr>
    <w:rPr>
      <w:rFonts w:eastAsia="Times New Roman"/>
    </w:rPr>
  </w:style>
  <w:style w:type="paragraph" w:styleId="TOC7">
    <w:name w:val="toc 7"/>
    <w:basedOn w:val="Normal"/>
    <w:next w:val="BodytextAgency"/>
    <w:semiHidden/>
    <w:rsid w:val="00CC192E"/>
    <w:pPr>
      <w:spacing w:after="57" w:line="240" w:lineRule="exact"/>
    </w:pPr>
    <w:rPr>
      <w:rFonts w:eastAsia="Times New Roman"/>
    </w:rPr>
  </w:style>
  <w:style w:type="paragraph" w:styleId="TOC8">
    <w:name w:val="toc 8"/>
    <w:basedOn w:val="Normal"/>
    <w:next w:val="BodytextAgency"/>
    <w:semiHidden/>
    <w:rsid w:val="00CC192E"/>
    <w:pPr>
      <w:spacing w:after="57" w:line="240" w:lineRule="exact"/>
    </w:pPr>
    <w:rPr>
      <w:rFonts w:eastAsia="Times New Roman"/>
    </w:rPr>
  </w:style>
  <w:style w:type="paragraph" w:styleId="TOC9">
    <w:name w:val="toc 9"/>
    <w:basedOn w:val="Normal"/>
    <w:next w:val="BodytextAgency"/>
    <w:semiHidden/>
    <w:rsid w:val="00CC192E"/>
    <w:pPr>
      <w:spacing w:after="57" w:line="240" w:lineRule="exact"/>
    </w:pPr>
    <w:rPr>
      <w:rFonts w:eastAsia="Times New Roman"/>
    </w:rPr>
  </w:style>
  <w:style w:type="paragraph" w:styleId="BalloonText">
    <w:name w:val="Balloon Text"/>
    <w:basedOn w:val="Normal"/>
    <w:semiHidden/>
    <w:rsid w:val="00CC192E"/>
    <w:rPr>
      <w:rFonts w:ascii="Tahoma" w:hAnsi="Tahoma" w:cs="Tahoma"/>
      <w:sz w:val="16"/>
      <w:szCs w:val="16"/>
    </w:rPr>
  </w:style>
  <w:style w:type="paragraph" w:styleId="BlockText">
    <w:name w:val="Block Text"/>
    <w:basedOn w:val="Normal"/>
    <w:semiHidden/>
    <w:rsid w:val="00CC192E"/>
    <w:pPr>
      <w:spacing w:after="120"/>
      <w:ind w:left="1440" w:right="1440"/>
    </w:pPr>
  </w:style>
  <w:style w:type="paragraph" w:styleId="BodyText2">
    <w:name w:val="Body Text 2"/>
    <w:basedOn w:val="Normal"/>
    <w:semiHidden/>
    <w:rsid w:val="00CC192E"/>
    <w:pPr>
      <w:spacing w:after="120" w:line="480" w:lineRule="auto"/>
    </w:pPr>
  </w:style>
  <w:style w:type="paragraph" w:styleId="BodyText3">
    <w:name w:val="Body Text 3"/>
    <w:basedOn w:val="Normal"/>
    <w:semiHidden/>
    <w:rsid w:val="00CC192E"/>
    <w:pPr>
      <w:spacing w:after="120"/>
    </w:pPr>
    <w:rPr>
      <w:sz w:val="16"/>
      <w:szCs w:val="16"/>
    </w:rPr>
  </w:style>
  <w:style w:type="paragraph" w:styleId="BodyTextFirstIndent">
    <w:name w:val="Body Text First Indent"/>
    <w:basedOn w:val="BodyText"/>
    <w:semiHidden/>
    <w:rsid w:val="00CC192E"/>
    <w:pPr>
      <w:spacing w:after="120" w:line="240" w:lineRule="auto"/>
      <w:ind w:firstLine="210"/>
    </w:pPr>
  </w:style>
  <w:style w:type="paragraph" w:styleId="BodyTextIndent">
    <w:name w:val="Body Text Indent"/>
    <w:basedOn w:val="Normal"/>
    <w:semiHidden/>
    <w:rsid w:val="00CC192E"/>
    <w:pPr>
      <w:spacing w:after="120"/>
      <w:ind w:left="283"/>
    </w:pPr>
  </w:style>
  <w:style w:type="paragraph" w:styleId="BodyTextFirstIndent2">
    <w:name w:val="Body Text First Indent 2"/>
    <w:basedOn w:val="BodyTextIndent"/>
    <w:semiHidden/>
    <w:rsid w:val="00CC192E"/>
    <w:pPr>
      <w:ind w:firstLine="210"/>
    </w:pPr>
  </w:style>
  <w:style w:type="paragraph" w:styleId="BodyTextIndent2">
    <w:name w:val="Body Text Indent 2"/>
    <w:basedOn w:val="Normal"/>
    <w:semiHidden/>
    <w:rsid w:val="00CC192E"/>
    <w:pPr>
      <w:spacing w:after="120" w:line="480" w:lineRule="auto"/>
      <w:ind w:left="283"/>
    </w:pPr>
  </w:style>
  <w:style w:type="paragraph" w:styleId="BodyTextIndent3">
    <w:name w:val="Body Text Indent 3"/>
    <w:basedOn w:val="Normal"/>
    <w:semiHidden/>
    <w:rsid w:val="00CC192E"/>
    <w:pPr>
      <w:spacing w:after="120"/>
      <w:ind w:left="283"/>
    </w:pPr>
    <w:rPr>
      <w:sz w:val="16"/>
      <w:szCs w:val="16"/>
    </w:rPr>
  </w:style>
  <w:style w:type="paragraph" w:styleId="Caption">
    <w:name w:val="caption"/>
    <w:basedOn w:val="Normal"/>
    <w:next w:val="Normal"/>
    <w:qFormat/>
    <w:rsid w:val="00CC192E"/>
    <w:rPr>
      <w:b/>
      <w:bCs/>
      <w:sz w:val="20"/>
      <w:szCs w:val="20"/>
    </w:rPr>
  </w:style>
  <w:style w:type="paragraph" w:styleId="Closing">
    <w:name w:val="Closing"/>
    <w:basedOn w:val="Normal"/>
    <w:semiHidden/>
    <w:rsid w:val="00CC192E"/>
    <w:pPr>
      <w:ind w:left="4252"/>
    </w:pPr>
  </w:style>
  <w:style w:type="character" w:styleId="CommentReference">
    <w:name w:val="annotation reference"/>
    <w:semiHidden/>
    <w:rsid w:val="00CC192E"/>
    <w:rPr>
      <w:sz w:val="16"/>
      <w:szCs w:val="16"/>
    </w:rPr>
  </w:style>
  <w:style w:type="paragraph" w:styleId="CommentText">
    <w:name w:val="annotation text"/>
    <w:basedOn w:val="Normal"/>
    <w:semiHidden/>
    <w:rsid w:val="00CC192E"/>
    <w:rPr>
      <w:sz w:val="20"/>
      <w:szCs w:val="20"/>
    </w:rPr>
  </w:style>
  <w:style w:type="paragraph" w:styleId="CommentSubject">
    <w:name w:val="annotation subject"/>
    <w:basedOn w:val="CommentText"/>
    <w:next w:val="CommentText"/>
    <w:semiHidden/>
    <w:rsid w:val="00CC192E"/>
    <w:rPr>
      <w:b/>
      <w:bCs/>
    </w:rPr>
  </w:style>
  <w:style w:type="paragraph" w:styleId="Date">
    <w:name w:val="Date"/>
    <w:basedOn w:val="Normal"/>
    <w:next w:val="Normal"/>
    <w:semiHidden/>
    <w:rsid w:val="00CC192E"/>
  </w:style>
  <w:style w:type="paragraph" w:styleId="DocumentMap">
    <w:name w:val="Document Map"/>
    <w:basedOn w:val="Normal"/>
    <w:semiHidden/>
    <w:rsid w:val="00CC192E"/>
    <w:pPr>
      <w:shd w:val="clear" w:color="auto" w:fill="000080"/>
    </w:pPr>
    <w:rPr>
      <w:rFonts w:ascii="Tahoma" w:hAnsi="Tahoma" w:cs="Tahoma"/>
      <w:sz w:val="20"/>
      <w:szCs w:val="20"/>
    </w:rPr>
  </w:style>
  <w:style w:type="paragraph" w:styleId="E-mailSignature">
    <w:name w:val="E-mail Signature"/>
    <w:basedOn w:val="Normal"/>
    <w:semiHidden/>
    <w:rsid w:val="00CC192E"/>
  </w:style>
  <w:style w:type="character" w:styleId="Emphasis">
    <w:name w:val="Emphasis"/>
    <w:qFormat/>
    <w:rsid w:val="00CC192E"/>
    <w:rPr>
      <w:i/>
      <w:iCs/>
    </w:rPr>
  </w:style>
  <w:style w:type="paragraph" w:styleId="EnvelopeAddress">
    <w:name w:val="envelope address"/>
    <w:basedOn w:val="Normal"/>
    <w:semiHidden/>
    <w:rsid w:val="00CC192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C192E"/>
    <w:rPr>
      <w:rFonts w:ascii="Arial" w:hAnsi="Arial" w:cs="Arial"/>
      <w:sz w:val="20"/>
      <w:szCs w:val="20"/>
    </w:rPr>
  </w:style>
  <w:style w:type="character" w:styleId="FollowedHyperlink">
    <w:name w:val="FollowedHyperlink"/>
    <w:semiHidden/>
    <w:rsid w:val="00CC192E"/>
    <w:rPr>
      <w:color w:val="800080"/>
      <w:u w:val="single"/>
    </w:rPr>
  </w:style>
  <w:style w:type="character" w:styleId="HTMLAcronym">
    <w:name w:val="HTML Acronym"/>
    <w:basedOn w:val="DefaultParagraphFont"/>
    <w:semiHidden/>
    <w:rsid w:val="00CC192E"/>
  </w:style>
  <w:style w:type="paragraph" w:styleId="HTMLAddress">
    <w:name w:val="HTML Address"/>
    <w:basedOn w:val="Normal"/>
    <w:semiHidden/>
    <w:rsid w:val="00CC192E"/>
    <w:rPr>
      <w:i/>
      <w:iCs/>
    </w:rPr>
  </w:style>
  <w:style w:type="character" w:styleId="HTMLCite">
    <w:name w:val="HTML Cite"/>
    <w:semiHidden/>
    <w:rsid w:val="00CC192E"/>
    <w:rPr>
      <w:i/>
      <w:iCs/>
    </w:rPr>
  </w:style>
  <w:style w:type="character" w:styleId="HTMLCode">
    <w:name w:val="HTML Code"/>
    <w:semiHidden/>
    <w:rsid w:val="00CC192E"/>
    <w:rPr>
      <w:rFonts w:ascii="Courier New" w:hAnsi="Courier New" w:cs="Courier New"/>
      <w:sz w:val="20"/>
      <w:szCs w:val="20"/>
    </w:rPr>
  </w:style>
  <w:style w:type="character" w:styleId="HTMLDefinition">
    <w:name w:val="HTML Definition"/>
    <w:semiHidden/>
    <w:rsid w:val="00CC192E"/>
    <w:rPr>
      <w:i/>
      <w:iCs/>
    </w:rPr>
  </w:style>
  <w:style w:type="character" w:styleId="HTMLKeyboard">
    <w:name w:val="HTML Keyboard"/>
    <w:semiHidden/>
    <w:rsid w:val="00CC192E"/>
    <w:rPr>
      <w:rFonts w:ascii="Courier New" w:hAnsi="Courier New" w:cs="Courier New"/>
      <w:sz w:val="20"/>
      <w:szCs w:val="20"/>
    </w:rPr>
  </w:style>
  <w:style w:type="paragraph" w:styleId="HTMLPreformatted">
    <w:name w:val="HTML Preformatted"/>
    <w:basedOn w:val="Normal"/>
    <w:semiHidden/>
    <w:rsid w:val="00CC192E"/>
    <w:rPr>
      <w:rFonts w:ascii="Courier New" w:hAnsi="Courier New" w:cs="Courier New"/>
      <w:sz w:val="20"/>
      <w:szCs w:val="20"/>
    </w:rPr>
  </w:style>
  <w:style w:type="character" w:styleId="HTMLSample">
    <w:name w:val="HTML Sample"/>
    <w:semiHidden/>
    <w:rsid w:val="00CC192E"/>
    <w:rPr>
      <w:rFonts w:ascii="Courier New" w:hAnsi="Courier New" w:cs="Courier New"/>
    </w:rPr>
  </w:style>
  <w:style w:type="character" w:styleId="HTMLTypewriter">
    <w:name w:val="HTML Typewriter"/>
    <w:semiHidden/>
    <w:rsid w:val="00CC192E"/>
    <w:rPr>
      <w:rFonts w:ascii="Courier New" w:hAnsi="Courier New" w:cs="Courier New"/>
      <w:sz w:val="20"/>
      <w:szCs w:val="20"/>
    </w:rPr>
  </w:style>
  <w:style w:type="character" w:styleId="HTMLVariable">
    <w:name w:val="HTML Variable"/>
    <w:semiHidden/>
    <w:rsid w:val="00CC192E"/>
    <w:rPr>
      <w:i/>
      <w:iCs/>
    </w:rPr>
  </w:style>
  <w:style w:type="character" w:styleId="Hyperlink">
    <w:name w:val="Hyperlink"/>
    <w:semiHidden/>
    <w:rsid w:val="00CC192E"/>
    <w:rPr>
      <w:color w:val="0000FF"/>
      <w:u w:val="single"/>
    </w:rPr>
  </w:style>
  <w:style w:type="paragraph" w:styleId="Index1">
    <w:name w:val="index 1"/>
    <w:basedOn w:val="Normal"/>
    <w:next w:val="Normal"/>
    <w:semiHidden/>
    <w:rsid w:val="00CC192E"/>
    <w:pPr>
      <w:ind w:left="180" w:hanging="180"/>
    </w:pPr>
  </w:style>
  <w:style w:type="paragraph" w:styleId="Index2">
    <w:name w:val="index 2"/>
    <w:basedOn w:val="Normal"/>
    <w:next w:val="Normal"/>
    <w:semiHidden/>
    <w:rsid w:val="00CC192E"/>
    <w:pPr>
      <w:ind w:left="360" w:hanging="180"/>
    </w:pPr>
  </w:style>
  <w:style w:type="paragraph" w:styleId="Index3">
    <w:name w:val="index 3"/>
    <w:basedOn w:val="Normal"/>
    <w:next w:val="Normal"/>
    <w:semiHidden/>
    <w:rsid w:val="00CC192E"/>
    <w:pPr>
      <w:ind w:left="540" w:hanging="180"/>
    </w:pPr>
  </w:style>
  <w:style w:type="paragraph" w:styleId="Index4">
    <w:name w:val="index 4"/>
    <w:basedOn w:val="Normal"/>
    <w:next w:val="Normal"/>
    <w:semiHidden/>
    <w:rsid w:val="00CC192E"/>
    <w:pPr>
      <w:ind w:left="720" w:hanging="180"/>
    </w:pPr>
  </w:style>
  <w:style w:type="paragraph" w:styleId="Index5">
    <w:name w:val="index 5"/>
    <w:basedOn w:val="Normal"/>
    <w:next w:val="Normal"/>
    <w:semiHidden/>
    <w:rsid w:val="00CC192E"/>
    <w:pPr>
      <w:ind w:left="900" w:hanging="180"/>
    </w:pPr>
  </w:style>
  <w:style w:type="paragraph" w:styleId="Index6">
    <w:name w:val="index 6"/>
    <w:basedOn w:val="Normal"/>
    <w:next w:val="Normal"/>
    <w:semiHidden/>
    <w:rsid w:val="00CC192E"/>
    <w:pPr>
      <w:ind w:left="1080" w:hanging="180"/>
    </w:pPr>
  </w:style>
  <w:style w:type="paragraph" w:styleId="Index7">
    <w:name w:val="index 7"/>
    <w:basedOn w:val="Normal"/>
    <w:next w:val="Normal"/>
    <w:semiHidden/>
    <w:rsid w:val="00CC192E"/>
    <w:pPr>
      <w:ind w:left="1260" w:hanging="180"/>
    </w:pPr>
  </w:style>
  <w:style w:type="paragraph" w:styleId="Index8">
    <w:name w:val="index 8"/>
    <w:basedOn w:val="Normal"/>
    <w:next w:val="Normal"/>
    <w:semiHidden/>
    <w:rsid w:val="00CC192E"/>
    <w:pPr>
      <w:ind w:left="1440" w:hanging="180"/>
    </w:pPr>
  </w:style>
  <w:style w:type="paragraph" w:styleId="Index9">
    <w:name w:val="index 9"/>
    <w:basedOn w:val="Normal"/>
    <w:next w:val="Normal"/>
    <w:semiHidden/>
    <w:rsid w:val="00CC192E"/>
    <w:pPr>
      <w:ind w:left="1620" w:hanging="180"/>
    </w:pPr>
  </w:style>
  <w:style w:type="paragraph" w:styleId="IndexHeading">
    <w:name w:val="index heading"/>
    <w:basedOn w:val="Normal"/>
    <w:next w:val="Index1"/>
    <w:semiHidden/>
    <w:rsid w:val="00CC192E"/>
    <w:rPr>
      <w:rFonts w:ascii="Arial" w:hAnsi="Arial" w:cs="Arial"/>
      <w:b/>
      <w:bCs/>
    </w:rPr>
  </w:style>
  <w:style w:type="character" w:styleId="LineNumber">
    <w:name w:val="line number"/>
    <w:basedOn w:val="DefaultParagraphFont"/>
    <w:semiHidden/>
    <w:rsid w:val="00CC192E"/>
  </w:style>
  <w:style w:type="paragraph" w:styleId="List">
    <w:name w:val="List"/>
    <w:basedOn w:val="Normal"/>
    <w:semiHidden/>
    <w:rsid w:val="00CC192E"/>
    <w:pPr>
      <w:ind w:left="283" w:hanging="283"/>
    </w:pPr>
  </w:style>
  <w:style w:type="paragraph" w:styleId="List2">
    <w:name w:val="List 2"/>
    <w:basedOn w:val="Normal"/>
    <w:semiHidden/>
    <w:rsid w:val="00CC192E"/>
    <w:pPr>
      <w:ind w:left="566" w:hanging="283"/>
    </w:pPr>
  </w:style>
  <w:style w:type="paragraph" w:styleId="List3">
    <w:name w:val="List 3"/>
    <w:basedOn w:val="Normal"/>
    <w:semiHidden/>
    <w:rsid w:val="00CC192E"/>
    <w:pPr>
      <w:ind w:left="849" w:hanging="283"/>
    </w:pPr>
  </w:style>
  <w:style w:type="paragraph" w:styleId="List4">
    <w:name w:val="List 4"/>
    <w:basedOn w:val="Normal"/>
    <w:semiHidden/>
    <w:rsid w:val="00CC192E"/>
    <w:pPr>
      <w:ind w:left="1132" w:hanging="283"/>
    </w:pPr>
  </w:style>
  <w:style w:type="paragraph" w:styleId="List5">
    <w:name w:val="List 5"/>
    <w:basedOn w:val="Normal"/>
    <w:semiHidden/>
    <w:rsid w:val="00CC192E"/>
    <w:pPr>
      <w:ind w:left="1415" w:hanging="283"/>
    </w:pPr>
  </w:style>
  <w:style w:type="paragraph" w:styleId="ListBullet">
    <w:name w:val="List Bullet"/>
    <w:basedOn w:val="Normal"/>
    <w:semiHidden/>
    <w:rsid w:val="00CC192E"/>
    <w:pPr>
      <w:numPr>
        <w:numId w:val="17"/>
      </w:numPr>
    </w:pPr>
  </w:style>
  <w:style w:type="paragraph" w:styleId="ListBullet2">
    <w:name w:val="List Bullet 2"/>
    <w:basedOn w:val="Normal"/>
    <w:semiHidden/>
    <w:rsid w:val="00CC192E"/>
    <w:pPr>
      <w:numPr>
        <w:numId w:val="18"/>
      </w:numPr>
    </w:pPr>
  </w:style>
  <w:style w:type="paragraph" w:styleId="ListBullet3">
    <w:name w:val="List Bullet 3"/>
    <w:basedOn w:val="Normal"/>
    <w:semiHidden/>
    <w:rsid w:val="00CC192E"/>
    <w:pPr>
      <w:numPr>
        <w:numId w:val="19"/>
      </w:numPr>
    </w:pPr>
  </w:style>
  <w:style w:type="paragraph" w:styleId="ListBullet4">
    <w:name w:val="List Bullet 4"/>
    <w:basedOn w:val="Normal"/>
    <w:semiHidden/>
    <w:rsid w:val="00CC192E"/>
    <w:pPr>
      <w:numPr>
        <w:numId w:val="20"/>
      </w:numPr>
    </w:pPr>
  </w:style>
  <w:style w:type="paragraph" w:styleId="ListBullet5">
    <w:name w:val="List Bullet 5"/>
    <w:basedOn w:val="Normal"/>
    <w:semiHidden/>
    <w:rsid w:val="00CC192E"/>
    <w:pPr>
      <w:numPr>
        <w:numId w:val="21"/>
      </w:numPr>
    </w:pPr>
  </w:style>
  <w:style w:type="paragraph" w:styleId="ListContinue">
    <w:name w:val="List Continue"/>
    <w:basedOn w:val="Normal"/>
    <w:semiHidden/>
    <w:rsid w:val="00CC192E"/>
    <w:pPr>
      <w:spacing w:after="120"/>
      <w:ind w:left="283"/>
    </w:pPr>
  </w:style>
  <w:style w:type="paragraph" w:styleId="ListContinue2">
    <w:name w:val="List Continue 2"/>
    <w:basedOn w:val="Normal"/>
    <w:semiHidden/>
    <w:rsid w:val="00CC192E"/>
    <w:pPr>
      <w:spacing w:after="120"/>
      <w:ind w:left="566"/>
    </w:pPr>
  </w:style>
  <w:style w:type="paragraph" w:styleId="ListContinue3">
    <w:name w:val="List Continue 3"/>
    <w:basedOn w:val="Normal"/>
    <w:semiHidden/>
    <w:rsid w:val="00CC192E"/>
    <w:pPr>
      <w:spacing w:after="120"/>
      <w:ind w:left="849"/>
    </w:pPr>
  </w:style>
  <w:style w:type="paragraph" w:styleId="ListContinue4">
    <w:name w:val="List Continue 4"/>
    <w:basedOn w:val="Normal"/>
    <w:semiHidden/>
    <w:rsid w:val="00CC192E"/>
    <w:pPr>
      <w:spacing w:after="120"/>
      <w:ind w:left="1132"/>
    </w:pPr>
  </w:style>
  <w:style w:type="paragraph" w:styleId="ListContinue5">
    <w:name w:val="List Continue 5"/>
    <w:basedOn w:val="Normal"/>
    <w:semiHidden/>
    <w:rsid w:val="00CC192E"/>
    <w:pPr>
      <w:spacing w:after="120"/>
      <w:ind w:left="1415"/>
    </w:pPr>
  </w:style>
  <w:style w:type="paragraph" w:styleId="ListNumber">
    <w:name w:val="List Number"/>
    <w:basedOn w:val="Normal"/>
    <w:semiHidden/>
    <w:rsid w:val="00CC192E"/>
    <w:pPr>
      <w:numPr>
        <w:numId w:val="22"/>
      </w:numPr>
    </w:pPr>
  </w:style>
  <w:style w:type="paragraph" w:styleId="ListNumber2">
    <w:name w:val="List Number 2"/>
    <w:basedOn w:val="Normal"/>
    <w:semiHidden/>
    <w:rsid w:val="00CC192E"/>
    <w:pPr>
      <w:numPr>
        <w:numId w:val="23"/>
      </w:numPr>
    </w:pPr>
  </w:style>
  <w:style w:type="paragraph" w:styleId="ListNumber3">
    <w:name w:val="List Number 3"/>
    <w:basedOn w:val="Normal"/>
    <w:semiHidden/>
    <w:rsid w:val="00CC192E"/>
    <w:pPr>
      <w:numPr>
        <w:numId w:val="24"/>
      </w:numPr>
    </w:pPr>
  </w:style>
  <w:style w:type="paragraph" w:styleId="ListNumber4">
    <w:name w:val="List Number 4"/>
    <w:basedOn w:val="Normal"/>
    <w:semiHidden/>
    <w:rsid w:val="00CC192E"/>
    <w:pPr>
      <w:numPr>
        <w:numId w:val="25"/>
      </w:numPr>
    </w:pPr>
  </w:style>
  <w:style w:type="paragraph" w:styleId="ListNumber5">
    <w:name w:val="List Number 5"/>
    <w:basedOn w:val="Normal"/>
    <w:semiHidden/>
    <w:rsid w:val="00CC192E"/>
    <w:pPr>
      <w:numPr>
        <w:numId w:val="26"/>
      </w:numPr>
    </w:pPr>
  </w:style>
  <w:style w:type="paragraph" w:styleId="MacroText">
    <w:name w:val="macro"/>
    <w:semiHidden/>
    <w:rsid w:val="00CC19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CC19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CC192E"/>
    <w:rPr>
      <w:rFonts w:ascii="Times New Roman" w:hAnsi="Times New Roman" w:cs="Times New Roman"/>
      <w:sz w:val="24"/>
      <w:szCs w:val="24"/>
    </w:rPr>
  </w:style>
  <w:style w:type="paragraph" w:styleId="NormalIndent">
    <w:name w:val="Normal Indent"/>
    <w:basedOn w:val="Normal"/>
    <w:semiHidden/>
    <w:rsid w:val="00CC192E"/>
    <w:pPr>
      <w:ind w:left="720"/>
    </w:pPr>
  </w:style>
  <w:style w:type="paragraph" w:styleId="NoteHeading">
    <w:name w:val="Note Heading"/>
    <w:basedOn w:val="Normal"/>
    <w:next w:val="Normal"/>
    <w:semiHidden/>
    <w:rsid w:val="00CC192E"/>
  </w:style>
  <w:style w:type="paragraph" w:styleId="PlainText">
    <w:name w:val="Plain Text"/>
    <w:basedOn w:val="Normal"/>
    <w:semiHidden/>
    <w:rsid w:val="00CC192E"/>
    <w:rPr>
      <w:rFonts w:ascii="Courier New" w:hAnsi="Courier New" w:cs="Courier New"/>
      <w:sz w:val="20"/>
      <w:szCs w:val="20"/>
    </w:rPr>
  </w:style>
  <w:style w:type="paragraph" w:styleId="Salutation">
    <w:name w:val="Salutation"/>
    <w:basedOn w:val="Normal"/>
    <w:next w:val="Normal"/>
    <w:semiHidden/>
    <w:rsid w:val="00CC192E"/>
  </w:style>
  <w:style w:type="paragraph" w:styleId="Signature">
    <w:name w:val="Signature"/>
    <w:basedOn w:val="Normal"/>
    <w:semiHidden/>
    <w:rsid w:val="00CC192E"/>
    <w:pPr>
      <w:ind w:left="4252"/>
    </w:pPr>
  </w:style>
  <w:style w:type="character" w:styleId="Strong">
    <w:name w:val="Strong"/>
    <w:qFormat/>
    <w:rsid w:val="00CC192E"/>
    <w:rPr>
      <w:b/>
      <w:bCs/>
    </w:rPr>
  </w:style>
  <w:style w:type="paragraph" w:styleId="Subtitle">
    <w:name w:val="Subtitle"/>
    <w:basedOn w:val="Normal"/>
    <w:qFormat/>
    <w:rsid w:val="00CC192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C192E"/>
    <w:pPr>
      <w:ind w:left="180" w:hanging="180"/>
    </w:pPr>
  </w:style>
  <w:style w:type="paragraph" w:styleId="TableofFigures">
    <w:name w:val="table of figures"/>
    <w:basedOn w:val="Normal"/>
    <w:next w:val="Normal"/>
    <w:semiHidden/>
    <w:rsid w:val="00CC192E"/>
  </w:style>
  <w:style w:type="paragraph" w:styleId="Title">
    <w:name w:val="Title"/>
    <w:basedOn w:val="Normal"/>
    <w:qFormat/>
    <w:rsid w:val="00CC192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C192E"/>
    <w:pPr>
      <w:spacing w:before="120"/>
    </w:pPr>
    <w:rPr>
      <w:rFonts w:ascii="Arial" w:hAnsi="Arial" w:cs="Arial"/>
      <w:b/>
      <w:bCs/>
      <w:sz w:val="24"/>
      <w:szCs w:val="24"/>
    </w:rPr>
  </w:style>
  <w:style w:type="character" w:customStyle="1" w:styleId="DocsubtitleAgencyChar">
    <w:name w:val="Doc subtitle (Agency) Char"/>
    <w:rsid w:val="00CC192E"/>
    <w:rPr>
      <w:rFonts w:ascii="Verdana" w:eastAsia="Verdana" w:hAnsi="Verdana" w:cs="Verdana"/>
      <w:sz w:val="24"/>
      <w:szCs w:val="24"/>
      <w:lang w:val="en-GB" w:eastAsia="en-GB" w:bidi="ar-SA"/>
    </w:rPr>
  </w:style>
  <w:style w:type="character" w:customStyle="1" w:styleId="BodytextAgencyChar">
    <w:name w:val="Body text (Agency) Char"/>
    <w:rsid w:val="00CC192E"/>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CC192E"/>
    <w:rPr>
      <w:b w:val="0"/>
      <w:i/>
      <w:iCs/>
      <w:color w:val="7BBBB2"/>
    </w:rPr>
  </w:style>
  <w:style w:type="paragraph" w:customStyle="1" w:styleId="ColorfulList-Accent11">
    <w:name w:val="Colorful List - Accent 11"/>
    <w:basedOn w:val="Normal"/>
    <w:uiPriority w:val="34"/>
    <w:qFormat/>
    <w:rsid w:val="0064725D"/>
    <w:pPr>
      <w:ind w:left="720"/>
      <w:contextualSpacing/>
    </w:pPr>
    <w:rPr>
      <w:rFonts w:ascii="Times New Roman" w:eastAsia="Times New Roman" w:hAnsi="Times New Roman" w:cs="Times New Roman"/>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EE0C2A7B2974F9023AB6CDAFC0549" ma:contentTypeVersion="2" ma:contentTypeDescription="Create a new document." ma:contentTypeScope="" ma:versionID="bc7c9e9fcf89a06dd18fbff737f0a69b">
  <xsd:schema xmlns:xsd="http://www.w3.org/2001/XMLSchema" xmlns:xs="http://www.w3.org/2001/XMLSchema" xmlns:p="http://schemas.microsoft.com/office/2006/metadata/properties" xmlns:ns2="e058ec30-c34c-4c8f-94aa-5bcb29f514c4" targetNamespace="http://schemas.microsoft.com/office/2006/metadata/properties" ma:root="true" ma:fieldsID="5bcc5f5aa85ad866fd99bad261b26388" ns2:_="">
    <xsd:import namespace="e058ec30-c34c-4c8f-94aa-5bcb29f514c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8ec30-c34c-4c8f-94aa-5bcb29f514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7882B-024D-44A5-9F80-58AFCEDEB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8ec30-c34c-4c8f-94aa-5bcb29f51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D058D-5412-4084-B044-75F00F3F18B5}">
  <ds:schemaRefs>
    <ds:schemaRef ds:uri="http://schemas.microsoft.com/sharepoint/v3/contenttype/forms"/>
  </ds:schemaRefs>
</ds:datastoreItem>
</file>

<file path=customXml/itemProps3.xml><?xml version="1.0" encoding="utf-8"?>
<ds:datastoreItem xmlns:ds="http://schemas.openxmlformats.org/officeDocument/2006/customXml" ds:itemID="{624B2631-3114-4CBC-B1E5-C123690997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0</TotalTime>
  <Pages>12</Pages>
  <Words>3405</Words>
  <Characters>19410</Characters>
  <Application>Microsoft Macintosh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22770</CharactersWithSpaces>
  <SharedDoc>false</SharedDoc>
  <HLinks>
    <vt:vector size="12" baseType="variant">
      <vt:variant>
        <vt:i4>6815827</vt:i4>
      </vt:variant>
      <vt:variant>
        <vt:i4>30690</vt:i4>
      </vt:variant>
      <vt:variant>
        <vt:i4>1026</vt:i4>
      </vt:variant>
      <vt:variant>
        <vt:i4>1</vt:i4>
      </vt:variant>
      <vt:variant>
        <vt:lpwstr>Logo MSWord</vt:lpwstr>
      </vt:variant>
      <vt:variant>
        <vt:lpwstr/>
      </vt:variant>
      <vt:variant>
        <vt:i4>8257605</vt:i4>
      </vt:variant>
      <vt:variant>
        <vt:i4>30886</vt:i4>
      </vt:variant>
      <vt:variant>
        <vt:i4>1025</vt:i4>
      </vt:variant>
      <vt:variant>
        <vt:i4>1</vt:i4>
      </vt:variant>
      <vt:variant>
        <vt:lpwstr>EU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2010-02-03T15:38:00Z</cp:lastPrinted>
  <dcterms:created xsi:type="dcterms:W3CDTF">2016-03-18T09:57:00Z</dcterms:created>
  <dcterms:modified xsi:type="dcterms:W3CDTF">2016-03-18T09:57:00Z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ContentTypeId">
    <vt:lpwstr>0x010100F64EE0C2A7B2974F9023AB6CDAFC0549</vt:lpwstr>
  </property>
</Properties>
</file>