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5F57FF" w14:textId="77777777" w:rsidR="005D6621" w:rsidRDefault="0001158F">
      <w:pPr>
        <w:pStyle w:val="RefAgency"/>
        <w:tabs>
          <w:tab w:val="left" w:pos="1277"/>
        </w:tabs>
      </w:pPr>
      <w:bookmarkStart w:id="0" w:name="_GoBack"/>
      <w:bookmarkEnd w:id="0"/>
      <w:r>
        <w:t>27 November 2015</w:t>
      </w:r>
    </w:p>
    <w:p w14:paraId="5FBF8FFA" w14:textId="77777777" w:rsidR="005D6621" w:rsidRDefault="005D6621">
      <w:pPr>
        <w:pStyle w:val="RefAgency"/>
        <w:tabs>
          <w:tab w:val="left" w:pos="1277"/>
        </w:tabs>
      </w:pPr>
    </w:p>
    <w:p w14:paraId="53034874" w14:textId="77777777" w:rsidR="005D6621" w:rsidRDefault="005D6621">
      <w:pPr>
        <w:pStyle w:val="RefAgency"/>
        <w:tabs>
          <w:tab w:val="left" w:pos="1277"/>
        </w:tabs>
      </w:pPr>
    </w:p>
    <w:p w14:paraId="3FFF73CA" w14:textId="77777777" w:rsidR="005D6621" w:rsidRPr="00154575" w:rsidRDefault="005D6621" w:rsidP="005B7C8E">
      <w:pPr>
        <w:pStyle w:val="DoctitleAgency"/>
        <w:jc w:val="center"/>
      </w:pPr>
      <w:bookmarkStart w:id="1" w:name="Head"/>
      <w:bookmarkEnd w:id="1"/>
      <w:r w:rsidRPr="00154575">
        <w:t xml:space="preserve">Submission of comments on </w:t>
      </w:r>
      <w:proofErr w:type="spellStart"/>
      <w:r w:rsidR="00B44867" w:rsidRPr="00154575">
        <w:t>CMDh</w:t>
      </w:r>
      <w:proofErr w:type="spellEnd"/>
      <w:r w:rsidR="00B44867" w:rsidRPr="00154575">
        <w:t xml:space="preserve"> Strategy to 2020</w:t>
      </w:r>
      <w:r w:rsidR="005B7C8E" w:rsidRPr="00154575">
        <w:br/>
        <w:t>(</w:t>
      </w:r>
      <w:proofErr w:type="spellStart"/>
      <w:r w:rsidR="005B7C8E" w:rsidRPr="00154575">
        <w:t>CMDh</w:t>
      </w:r>
      <w:proofErr w:type="spellEnd"/>
      <w:r w:rsidR="005B7C8E" w:rsidRPr="00154575">
        <w:t>/335/2015, Draft)</w:t>
      </w:r>
    </w:p>
    <w:p w14:paraId="4609EA91" w14:textId="77777777" w:rsidR="00672D60" w:rsidRPr="00672D60" w:rsidRDefault="00672D60" w:rsidP="00672D60">
      <w:pPr>
        <w:pStyle w:val="DocsubtitleAgency"/>
      </w:pPr>
    </w:p>
    <w:p w14:paraId="0578A2E2" w14:textId="442D55E2" w:rsidR="005D6621" w:rsidRDefault="005D6621">
      <w:pPr>
        <w:pStyle w:val="No-TOCheadingAgency"/>
      </w:pPr>
      <w:r>
        <w:t>Comments from:</w:t>
      </w:r>
      <w:r w:rsidR="008164C6">
        <w:t xml:space="preserve"> EFPIA</w:t>
      </w:r>
    </w:p>
    <w:tbl>
      <w:tblPr>
        <w:tblW w:w="5000" w:type="pct"/>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1E0" w:firstRow="1" w:lastRow="1" w:firstColumn="1" w:lastColumn="1" w:noHBand="0" w:noVBand="0"/>
      </w:tblPr>
      <w:tblGrid>
        <w:gridCol w:w="9629"/>
      </w:tblGrid>
      <w:tr w:rsidR="005D6621" w14:paraId="1C806E7A" w14:textId="77777777">
        <w:trPr>
          <w:tblHeader/>
        </w:trPr>
        <w:tc>
          <w:tcPr>
            <w:tcW w:w="5000" w:type="pct"/>
            <w:tcBorders>
              <w:top w:val="nil"/>
              <w:left w:val="nil"/>
              <w:bottom w:val="nil"/>
              <w:right w:val="nil"/>
            </w:tcBorders>
            <w:shd w:val="clear" w:color="auto" w:fill="003399"/>
          </w:tcPr>
          <w:p w14:paraId="000D624A" w14:textId="77777777" w:rsidR="005D6621" w:rsidRDefault="005D6621">
            <w:pPr>
              <w:pStyle w:val="TableheadingrowsAgency"/>
              <w:rPr>
                <w:b w:val="0"/>
              </w:rPr>
            </w:pPr>
            <w:r>
              <w:rPr>
                <w:b w:val="0"/>
              </w:rPr>
              <w:t>Name of organisation or individual</w:t>
            </w:r>
          </w:p>
        </w:tc>
      </w:tr>
      <w:tr w:rsidR="005D6621" w:rsidRPr="0003379E" w14:paraId="548129FC" w14:textId="77777777">
        <w:tc>
          <w:tcPr>
            <w:tcW w:w="5000" w:type="pct"/>
            <w:shd w:val="clear" w:color="auto" w:fill="E1E3F2"/>
          </w:tcPr>
          <w:p w14:paraId="061AFDA4" w14:textId="77777777" w:rsidR="005D6621" w:rsidRPr="0003379E" w:rsidRDefault="004A383E" w:rsidP="00B44867">
            <w:pPr>
              <w:pStyle w:val="TabletextrowsAgency"/>
              <w:rPr>
                <w:rFonts w:ascii="Times New Roman" w:hAnsi="Times New Roman"/>
                <w:sz w:val="22"/>
                <w:szCs w:val="22"/>
                <w:lang w:val="it-IT"/>
              </w:rPr>
            </w:pPr>
            <w:r w:rsidRPr="0003379E">
              <w:rPr>
                <w:lang w:val="it-IT"/>
              </w:rPr>
              <w:t xml:space="preserve">EFPIA </w:t>
            </w:r>
            <w:r w:rsidR="00212AB1" w:rsidRPr="0003379E">
              <w:rPr>
                <w:lang w:val="it-IT"/>
              </w:rPr>
              <w:t>–</w:t>
            </w:r>
            <w:r w:rsidRPr="0003379E">
              <w:rPr>
                <w:lang w:val="it-IT"/>
              </w:rPr>
              <w:t xml:space="preserve"> </w:t>
            </w:r>
            <w:proofErr w:type="spellStart"/>
            <w:r w:rsidR="00B44867" w:rsidRPr="0003379E">
              <w:rPr>
                <w:lang w:val="it-IT"/>
              </w:rPr>
              <w:t>Pär</w:t>
            </w:r>
            <w:proofErr w:type="spellEnd"/>
            <w:r w:rsidR="00B44867" w:rsidRPr="0003379E">
              <w:rPr>
                <w:lang w:val="it-IT"/>
              </w:rPr>
              <w:t xml:space="preserve"> </w:t>
            </w:r>
            <w:proofErr w:type="spellStart"/>
            <w:r w:rsidR="00B44867" w:rsidRPr="0003379E">
              <w:rPr>
                <w:lang w:val="it-IT"/>
              </w:rPr>
              <w:t>Tellner</w:t>
            </w:r>
            <w:proofErr w:type="spellEnd"/>
            <w:r w:rsidR="00B44867" w:rsidRPr="0003379E">
              <w:rPr>
                <w:lang w:val="it-IT"/>
              </w:rPr>
              <w:t xml:space="preserve"> (par.tellner@efpia.eu)</w:t>
            </w:r>
          </w:p>
        </w:tc>
      </w:tr>
    </w:tbl>
    <w:p w14:paraId="7A34853B" w14:textId="77777777" w:rsidR="005D6621" w:rsidRPr="0003379E" w:rsidRDefault="005D6621">
      <w:pPr>
        <w:pStyle w:val="BodytextAgency"/>
        <w:rPr>
          <w:lang w:val="it-IT"/>
        </w:rPr>
      </w:pPr>
    </w:p>
    <w:p w14:paraId="4BE81CB9" w14:textId="77777777" w:rsidR="005D6621" w:rsidRDefault="005D6621">
      <w:pPr>
        <w:pStyle w:val="BodytextAgency"/>
        <w:rPr>
          <w:i/>
        </w:rPr>
      </w:pPr>
      <w:r>
        <w:rPr>
          <w:i/>
        </w:rPr>
        <w:t>Please note that these comments and the identity of the sender will be published unless a specific justified objection is received.</w:t>
      </w:r>
    </w:p>
    <w:p w14:paraId="22A2BB74" w14:textId="77777777" w:rsidR="005D6621" w:rsidRDefault="005D6621">
      <w:pPr>
        <w:pStyle w:val="BodytextAgency"/>
        <w:rPr>
          <w:i/>
        </w:rPr>
      </w:pPr>
      <w:r>
        <w:rPr>
          <w:i/>
        </w:rPr>
        <w:t>When completed, this form should be sent to the European Medicines Agency electronically, in Word format (not PDF).</w:t>
      </w:r>
    </w:p>
    <w:p w14:paraId="57FE073D" w14:textId="77777777" w:rsidR="005D6621" w:rsidRDefault="005D6621">
      <w:pPr>
        <w:pStyle w:val="BodytextAgency"/>
      </w:pPr>
    </w:p>
    <w:p w14:paraId="47688E8B" w14:textId="77777777" w:rsidR="005D6621" w:rsidRDefault="005D6621">
      <w:pPr>
        <w:pStyle w:val="BodytextAgency"/>
      </w:pPr>
    </w:p>
    <w:p w14:paraId="11314D1B" w14:textId="77777777" w:rsidR="00FC4B24" w:rsidRDefault="00FC4B24">
      <w:pPr>
        <w:pStyle w:val="BodytextAgency"/>
      </w:pPr>
    </w:p>
    <w:p w14:paraId="2B67B9C9" w14:textId="77777777" w:rsidR="005D6621" w:rsidRPr="00FC4B24" w:rsidRDefault="00FC4B24">
      <w:pPr>
        <w:pStyle w:val="BodytextAgency"/>
        <w:rPr>
          <w:b/>
          <w:sz w:val="22"/>
        </w:rPr>
      </w:pPr>
      <w:r>
        <w:br w:type="page"/>
      </w:r>
      <w:r w:rsidRPr="00FC4B24">
        <w:rPr>
          <w:b/>
          <w:sz w:val="22"/>
          <w:u w:val="single"/>
        </w:rPr>
        <w:lastRenderedPageBreak/>
        <w:t>Introduction</w:t>
      </w:r>
    </w:p>
    <w:p w14:paraId="454F179B" w14:textId="77777777" w:rsidR="00CE1C4B" w:rsidRDefault="00FC4B24" w:rsidP="008506EB">
      <w:pPr>
        <w:pStyle w:val="BodytextAgency"/>
        <w:jc w:val="both"/>
      </w:pPr>
      <w:r w:rsidRPr="00FC4B24">
        <w:t xml:space="preserve">EFPIA </w:t>
      </w:r>
      <w:r>
        <w:t>commends the</w:t>
      </w:r>
      <w:r w:rsidRPr="00FC4B24">
        <w:t xml:space="preserve"> Coordination group for Mutual recognition and Decentralised procedur</w:t>
      </w:r>
      <w:r>
        <w:t>e for human medicinal products (</w:t>
      </w:r>
      <w:proofErr w:type="spellStart"/>
      <w:r w:rsidRPr="00FC4B24">
        <w:t>CMDh</w:t>
      </w:r>
      <w:proofErr w:type="spellEnd"/>
      <w:r>
        <w:t xml:space="preserve">) for its </w:t>
      </w:r>
      <w:r w:rsidR="00675C29">
        <w:t>laudable</w:t>
      </w:r>
      <w:r>
        <w:t xml:space="preserve"> efforts to establish and progress an enduring </w:t>
      </w:r>
      <w:r w:rsidR="00162644">
        <w:t>strategy</w:t>
      </w:r>
      <w:r w:rsidR="00CE1C4B">
        <w:t>.  Accordingly, EFPIA is pleased to offer</w:t>
      </w:r>
      <w:r w:rsidRPr="00FC4B24">
        <w:t xml:space="preserve"> comment</w:t>
      </w:r>
      <w:r w:rsidR="00CE1C4B">
        <w:t>s</w:t>
      </w:r>
      <w:r w:rsidRPr="00FC4B24">
        <w:t xml:space="preserve"> on the Consultation draft of </w:t>
      </w:r>
      <w:r w:rsidR="00CE1C4B">
        <w:t xml:space="preserve">the </w:t>
      </w:r>
      <w:proofErr w:type="spellStart"/>
      <w:r w:rsidR="00CE1C4B">
        <w:t>CMDh</w:t>
      </w:r>
      <w:proofErr w:type="spellEnd"/>
      <w:r w:rsidR="00CE1C4B">
        <w:t xml:space="preserve"> Strategy to 2020 (</w:t>
      </w:r>
      <w:proofErr w:type="spellStart"/>
      <w:r w:rsidR="00CE1C4B">
        <w:t>CMDh</w:t>
      </w:r>
      <w:proofErr w:type="spellEnd"/>
      <w:r w:rsidR="00CE1C4B">
        <w:t xml:space="preserve">/335/2015, Draft) and trusts that these remarks will be useful as the </w:t>
      </w:r>
      <w:r w:rsidR="008506EB">
        <w:t>s</w:t>
      </w:r>
      <w:r w:rsidR="00CE1C4B">
        <w:t xml:space="preserve">trategy is finalised and implemented.  </w:t>
      </w:r>
    </w:p>
    <w:p w14:paraId="06496902" w14:textId="77777777" w:rsidR="00162644" w:rsidRDefault="00CE1C4B" w:rsidP="008506EB">
      <w:pPr>
        <w:pStyle w:val="BodytextAgency"/>
        <w:jc w:val="both"/>
      </w:pPr>
      <w:r w:rsidRPr="00CE1C4B">
        <w:t xml:space="preserve">EFPIA brings together 33 European national pharmaceutical industry associations as well as 40 leading </w:t>
      </w:r>
      <w:proofErr w:type="gramStart"/>
      <w:r w:rsidRPr="00CE1C4B">
        <w:t>companies</w:t>
      </w:r>
      <w:proofErr w:type="gramEnd"/>
      <w:r w:rsidRPr="00CE1C4B">
        <w:t xml:space="preserve"> undertaking research, development and the manufacture in Europe of med</w:t>
      </w:r>
      <w:r w:rsidR="008506EB">
        <w:t xml:space="preserve">icinal products for human use.  In its Strategy to 2020, </w:t>
      </w:r>
      <w:proofErr w:type="spellStart"/>
      <w:r w:rsidR="008506EB">
        <w:t>CMDh</w:t>
      </w:r>
      <w:proofErr w:type="spellEnd"/>
      <w:r w:rsidR="008506EB">
        <w:t xml:space="preserve"> mentions that the</w:t>
      </w:r>
      <w:r w:rsidR="008506EB" w:rsidRPr="008506EB">
        <w:t xml:space="preserve"> </w:t>
      </w:r>
      <w:r w:rsidR="008506EB">
        <w:t>“</w:t>
      </w:r>
      <w:r w:rsidR="008506EB" w:rsidRPr="008506EB">
        <w:t>strategy is in lin</w:t>
      </w:r>
      <w:r w:rsidR="008506EB">
        <w:t>e with EMA/HMA strategy to 2020”</w:t>
      </w:r>
      <w:r w:rsidR="00162644">
        <w:rPr>
          <w:rStyle w:val="FootnoteReference"/>
        </w:rPr>
        <w:footnoteReference w:id="1"/>
      </w:r>
      <w:r w:rsidR="008506EB">
        <w:t xml:space="preserve"> for which EFPIA </w:t>
      </w:r>
      <w:r w:rsidR="00162644">
        <w:t>previously</w:t>
      </w:r>
      <w:r w:rsidR="008506EB">
        <w:t xml:space="preserve"> had the opportunity to </w:t>
      </w:r>
      <w:r w:rsidR="003331BF">
        <w:t xml:space="preserve">offer </w:t>
      </w:r>
      <w:r w:rsidR="008506EB">
        <w:t xml:space="preserve">comment.  While the comments included </w:t>
      </w:r>
      <w:r w:rsidR="00162644">
        <w:t>at this time</w:t>
      </w:r>
      <w:r w:rsidR="008506EB">
        <w:t xml:space="preserve"> are tailored towards the </w:t>
      </w:r>
      <w:proofErr w:type="spellStart"/>
      <w:r w:rsidR="008506EB">
        <w:t>CMDh’s</w:t>
      </w:r>
      <w:proofErr w:type="spellEnd"/>
      <w:r w:rsidR="008506EB">
        <w:t xml:space="preserve"> strategic plan, EFPIA </w:t>
      </w:r>
      <w:r w:rsidR="00162644">
        <w:t xml:space="preserve">does </w:t>
      </w:r>
      <w:r w:rsidR="001F38C3">
        <w:t>propose</w:t>
      </w:r>
      <w:r w:rsidR="008506EB">
        <w:t xml:space="preserve"> several similar themes to those </w:t>
      </w:r>
      <w:r w:rsidR="00162644">
        <w:t xml:space="preserve">formerly </w:t>
      </w:r>
      <w:r w:rsidR="008506EB">
        <w:t xml:space="preserve">presented in </w:t>
      </w:r>
      <w:r w:rsidR="00162644">
        <w:t>our</w:t>
      </w:r>
      <w:r w:rsidR="008506EB">
        <w:t xml:space="preserve"> response </w:t>
      </w:r>
      <w:r w:rsidR="00162644">
        <w:t>to</w:t>
      </w:r>
      <w:r w:rsidR="008506EB">
        <w:t xml:space="preserve"> EMA/HMA’s </w:t>
      </w:r>
      <w:r w:rsidR="00162644">
        <w:t xml:space="preserve">5-year </w:t>
      </w:r>
      <w:r w:rsidR="008506EB">
        <w:t xml:space="preserve">strategy document. </w:t>
      </w:r>
      <w:r w:rsidR="005A21FE">
        <w:t xml:space="preserve"> </w:t>
      </w:r>
      <w:r w:rsidR="00675C29">
        <w:t>Practically</w:t>
      </w:r>
      <w:r w:rsidR="003331BF">
        <w:t>,</w:t>
      </w:r>
      <w:r w:rsidR="005A21FE">
        <w:t xml:space="preserve"> within these comments, EFPIA </w:t>
      </w:r>
      <w:r w:rsidR="003331BF">
        <w:t>does</w:t>
      </w:r>
      <w:r w:rsidR="005A21FE">
        <w:t xml:space="preserve"> not list each of the </w:t>
      </w:r>
      <w:r w:rsidR="003331BF">
        <w:t>many</w:t>
      </w:r>
      <w:r w:rsidR="005A21FE">
        <w:t xml:space="preserve"> aspects of the Strateg</w:t>
      </w:r>
      <w:r w:rsidR="003331BF">
        <w:t>y to 2020 that we fully support</w:t>
      </w:r>
      <w:r w:rsidR="005A21FE">
        <w:t>.</w:t>
      </w:r>
    </w:p>
    <w:p w14:paraId="494E2115" w14:textId="77777777" w:rsidR="00353F6C" w:rsidRDefault="00162644" w:rsidP="008506EB">
      <w:pPr>
        <w:pStyle w:val="BodytextAgency"/>
        <w:jc w:val="both"/>
      </w:pPr>
      <w:r w:rsidRPr="00162644">
        <w:t xml:space="preserve">EFPIA member companies fully endorse the </w:t>
      </w:r>
      <w:r>
        <w:t>overall goal</w:t>
      </w:r>
      <w:r w:rsidRPr="00162644">
        <w:t xml:space="preserve"> stat</w:t>
      </w:r>
      <w:r>
        <w:t>ed in the Strategy to 2020 which is “</w:t>
      </w:r>
      <w:r w:rsidRPr="00162644">
        <w:t>to ensure availability of safe and effective medicines that promote and protect public health across the network</w:t>
      </w:r>
      <w:r>
        <w:t>”</w:t>
      </w:r>
      <w:r w:rsidRPr="00162644">
        <w:rPr>
          <w:vertAlign w:val="superscript"/>
        </w:rPr>
        <w:t>1</w:t>
      </w:r>
      <w:r>
        <w:t>. W</w:t>
      </w:r>
      <w:r w:rsidRPr="00162644">
        <w:t>e believe that a well-constructed strategy, collaborative stakeholder engagement along the way, and frequent tracking of progress will, in the end, ena</w:t>
      </w:r>
      <w:r>
        <w:t xml:space="preserve">ble the EU </w:t>
      </w:r>
      <w:r w:rsidR="00353F6C">
        <w:t xml:space="preserve">mutual recognition </w:t>
      </w:r>
      <w:r w:rsidR="00FB57FF">
        <w:t xml:space="preserve">(MRP) </w:t>
      </w:r>
      <w:r w:rsidR="00353F6C">
        <w:t>and d</w:t>
      </w:r>
      <w:r w:rsidRPr="00162644">
        <w:t>ecentralised procedure</w:t>
      </w:r>
      <w:r w:rsidR="00FB57FF">
        <w:t>s</w:t>
      </w:r>
      <w:r w:rsidR="00353F6C">
        <w:t xml:space="preserve"> </w:t>
      </w:r>
      <w:r w:rsidR="00FB57FF">
        <w:t xml:space="preserve">(DCP) </w:t>
      </w:r>
      <w:r>
        <w:t>to achieve this aspiration</w:t>
      </w:r>
      <w:r w:rsidRPr="00162644">
        <w:t>.</w:t>
      </w:r>
      <w:r w:rsidR="005A21FE" w:rsidRPr="005A21FE">
        <w:t xml:space="preserve"> EFPIA and its member companies stand ready to partner with </w:t>
      </w:r>
      <w:proofErr w:type="spellStart"/>
      <w:r w:rsidR="005A21FE">
        <w:t>CMDh</w:t>
      </w:r>
      <w:proofErr w:type="spellEnd"/>
      <w:r w:rsidR="005A21FE" w:rsidRPr="005A21FE">
        <w:t xml:space="preserve"> and other stakeholders to realize this collective </w:t>
      </w:r>
      <w:r w:rsidR="005A21FE">
        <w:t>goal.</w:t>
      </w:r>
    </w:p>
    <w:p w14:paraId="5557F4AD" w14:textId="77777777" w:rsidR="00FC4B24" w:rsidRDefault="008506EB" w:rsidP="008506EB">
      <w:pPr>
        <w:pStyle w:val="BodytextAgency"/>
        <w:jc w:val="both"/>
      </w:pPr>
      <w:r>
        <w:t xml:space="preserve"> </w:t>
      </w:r>
    </w:p>
    <w:p w14:paraId="2A5266B8" w14:textId="77777777" w:rsidR="00353F6C" w:rsidRDefault="00353F6C" w:rsidP="008506EB">
      <w:pPr>
        <w:pStyle w:val="BodytextAgency"/>
        <w:jc w:val="both"/>
        <w:sectPr w:rsidR="00353F6C">
          <w:footerReference w:type="default" r:id="rId9"/>
          <w:headerReference w:type="first" r:id="rId10"/>
          <w:pgSz w:w="11907" w:h="16839" w:code="9"/>
          <w:pgMar w:top="1418" w:right="1247" w:bottom="1418" w:left="1247" w:header="284" w:footer="680" w:gutter="0"/>
          <w:cols w:space="720"/>
          <w:titlePg/>
          <w:docGrid w:linePitch="326"/>
        </w:sectPr>
      </w:pPr>
    </w:p>
    <w:p w14:paraId="363B5A77" w14:textId="77777777" w:rsidR="005D6621" w:rsidRDefault="005D6621">
      <w:pPr>
        <w:pStyle w:val="Heading1Agency"/>
      </w:pPr>
      <w:r>
        <w:lastRenderedPageBreak/>
        <w:t>General comments</w:t>
      </w:r>
    </w:p>
    <w:tbl>
      <w:tblPr>
        <w:tblW w:w="4878" w:type="pct"/>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1E0" w:firstRow="1" w:lastRow="1" w:firstColumn="1" w:lastColumn="1" w:noHBand="0" w:noVBand="0"/>
      </w:tblPr>
      <w:tblGrid>
        <w:gridCol w:w="14425"/>
      </w:tblGrid>
      <w:tr w:rsidR="00154575" w14:paraId="3F6070EB" w14:textId="77777777" w:rsidTr="00154575">
        <w:trPr>
          <w:tblHeader/>
        </w:trPr>
        <w:tc>
          <w:tcPr>
            <w:tcW w:w="5000" w:type="pct"/>
            <w:tcBorders>
              <w:top w:val="nil"/>
              <w:left w:val="nil"/>
              <w:bottom w:val="nil"/>
              <w:right w:val="nil"/>
            </w:tcBorders>
            <w:shd w:val="clear" w:color="auto" w:fill="003399"/>
          </w:tcPr>
          <w:p w14:paraId="253DA1D5" w14:textId="6ADAF8C0" w:rsidR="00154575" w:rsidRDefault="00154575">
            <w:pPr>
              <w:pStyle w:val="TableheadingrowsAgency"/>
              <w:rPr>
                <w:b w:val="0"/>
                <w:bCs/>
              </w:rPr>
            </w:pPr>
            <w:r>
              <w:rPr>
                <w:b w:val="0"/>
                <w:bCs/>
              </w:rPr>
              <w:t xml:space="preserve">General comment </w:t>
            </w:r>
          </w:p>
        </w:tc>
      </w:tr>
      <w:tr w:rsidR="00154575" w14:paraId="7321A7F9" w14:textId="77777777" w:rsidTr="00154575">
        <w:tc>
          <w:tcPr>
            <w:tcW w:w="5000" w:type="pct"/>
            <w:shd w:val="clear" w:color="auto" w:fill="E1E3F2"/>
          </w:tcPr>
          <w:p w14:paraId="24C6774A" w14:textId="77777777" w:rsidR="00154575" w:rsidRPr="00353F6C" w:rsidRDefault="00154575" w:rsidP="00204769">
            <w:pPr>
              <w:pStyle w:val="TabletextrowsAgency"/>
              <w:spacing w:line="240" w:lineRule="auto"/>
              <w:rPr>
                <w:b/>
                <w:u w:val="single"/>
              </w:rPr>
            </w:pPr>
            <w:r>
              <w:rPr>
                <w:b/>
                <w:u w:val="single"/>
              </w:rPr>
              <w:t>Achieving</w:t>
            </w:r>
            <w:r w:rsidRPr="00353F6C">
              <w:rPr>
                <w:b/>
                <w:u w:val="single"/>
              </w:rPr>
              <w:t xml:space="preserve"> </w:t>
            </w:r>
            <w:r>
              <w:rPr>
                <w:b/>
                <w:u w:val="single"/>
              </w:rPr>
              <w:t xml:space="preserve">enhanced </w:t>
            </w:r>
            <w:r w:rsidRPr="00353F6C">
              <w:rPr>
                <w:b/>
                <w:u w:val="single"/>
              </w:rPr>
              <w:t>harmonisation</w:t>
            </w:r>
          </w:p>
          <w:p w14:paraId="6CDB19BD" w14:textId="77777777" w:rsidR="00154575" w:rsidRDefault="00154575" w:rsidP="00204769">
            <w:pPr>
              <w:pStyle w:val="TabletextrowsAgency"/>
              <w:spacing w:line="240" w:lineRule="auto"/>
              <w:jc w:val="both"/>
            </w:pPr>
          </w:p>
          <w:p w14:paraId="2C7748EB" w14:textId="77777777" w:rsidR="00154575" w:rsidRDefault="00154575" w:rsidP="00204769">
            <w:pPr>
              <w:pStyle w:val="TabletextrowsAgency"/>
              <w:spacing w:line="240" w:lineRule="auto"/>
              <w:jc w:val="both"/>
            </w:pPr>
            <w:r>
              <w:t xml:space="preserve">Importantly, in the introductory section, </w:t>
            </w:r>
            <w:proofErr w:type="spellStart"/>
            <w:r>
              <w:t>CMDh</w:t>
            </w:r>
            <w:proofErr w:type="spellEnd"/>
            <w:r>
              <w:t xml:space="preserve"> puts forth its principal mission to “achieve harmonisation”.  There are few EU organisations that must coordinate, collaborate, network and harmonise to the same elevated level as </w:t>
            </w:r>
            <w:proofErr w:type="spellStart"/>
            <w:r>
              <w:t>CMDh</w:t>
            </w:r>
            <w:proofErr w:type="spellEnd"/>
            <w:r>
              <w:t xml:space="preserve"> in order to meet its regulatory objectives.  </w:t>
            </w:r>
          </w:p>
          <w:p w14:paraId="77353084" w14:textId="77777777" w:rsidR="00154575" w:rsidRDefault="00154575" w:rsidP="00204769">
            <w:pPr>
              <w:pStyle w:val="TabletextrowsAgency"/>
              <w:spacing w:line="240" w:lineRule="auto"/>
              <w:jc w:val="both"/>
            </w:pPr>
          </w:p>
          <w:p w14:paraId="4E932D4A" w14:textId="77777777" w:rsidR="00154575" w:rsidRDefault="00154575" w:rsidP="00204769">
            <w:pPr>
              <w:pStyle w:val="TabletextrowsAgency"/>
              <w:spacing w:line="240" w:lineRule="auto"/>
              <w:jc w:val="both"/>
            </w:pPr>
            <w:r>
              <w:t xml:space="preserve">In fact, in acknowledgement of this aspect of its activities, </w:t>
            </w:r>
            <w:proofErr w:type="spellStart"/>
            <w:r>
              <w:t>CMDh</w:t>
            </w:r>
            <w:proofErr w:type="spellEnd"/>
            <w:r>
              <w:t xml:space="preserve"> prominently mentions the words ‘harmonise’ and ‘harmonisation’ a total of 15 times within its Strategy.  For example, </w:t>
            </w:r>
            <w:proofErr w:type="spellStart"/>
            <w:r>
              <w:t>CMDh</w:t>
            </w:r>
            <w:proofErr w:type="spellEnd"/>
            <w:r>
              <w:t xml:space="preserve"> states its “(aim) </w:t>
            </w:r>
            <w:r w:rsidRPr="00FB57FF">
              <w:t>to achieve harmonisation when appropriate in all Member States and aim to increase consensus opinion amongst the Member States, where p</w:t>
            </w:r>
            <w:r>
              <w:t>ossible when voting is required”</w:t>
            </w:r>
            <w:r w:rsidRPr="00FB57FF">
              <w:rPr>
                <w:vertAlign w:val="superscript"/>
              </w:rPr>
              <w:t>1</w:t>
            </w:r>
            <w:r>
              <w:t xml:space="preserve">.  Also, mentioned is </w:t>
            </w:r>
            <w:proofErr w:type="spellStart"/>
            <w:r>
              <w:t>CMDh’s</w:t>
            </w:r>
            <w:proofErr w:type="spellEnd"/>
            <w:r>
              <w:t xml:space="preserve"> plans to “</w:t>
            </w:r>
            <w:r w:rsidRPr="00FB57FF">
              <w:t>continue to contribute to global harmonisation initiatives</w:t>
            </w:r>
            <w:r>
              <w:t>”</w:t>
            </w:r>
            <w:r w:rsidRPr="00FB57FF">
              <w:rPr>
                <w:vertAlign w:val="superscript"/>
              </w:rPr>
              <w:t>1</w:t>
            </w:r>
            <w:r>
              <w:t>. Indeed, there are repeated references to ‘collaboration’, ‘coordination’ and ‘harmonisation’ between Member States and stakeholders, however there is minimal clarification on stakeholders of focus or the proposed actions to achieve this.</w:t>
            </w:r>
          </w:p>
          <w:p w14:paraId="7F3D5B1A" w14:textId="77777777" w:rsidR="00154575" w:rsidRDefault="00154575" w:rsidP="00204769">
            <w:pPr>
              <w:pStyle w:val="TabletextrowsAgency"/>
              <w:spacing w:line="240" w:lineRule="auto"/>
              <w:jc w:val="both"/>
            </w:pPr>
          </w:p>
          <w:p w14:paraId="6FDCF1DF" w14:textId="77777777" w:rsidR="00154575" w:rsidRDefault="00154575" w:rsidP="00204769">
            <w:pPr>
              <w:pStyle w:val="TabletextrowsAgency"/>
              <w:spacing w:line="240" w:lineRule="auto"/>
              <w:jc w:val="both"/>
            </w:pPr>
            <w:r>
              <w:t xml:space="preserve">The </w:t>
            </w:r>
            <w:proofErr w:type="spellStart"/>
            <w:r>
              <w:t>CMDh</w:t>
            </w:r>
            <w:proofErr w:type="spellEnd"/>
            <w:r>
              <w:t xml:space="preserve"> reiterates its desire to promote work-sharing to ensure best use of resources.  However, greater clarity is needed on mechanisms to facilitate greater information sharing. The idea of ‘efficiency’ and ‘timely processes’ is emphasised; it would be helpful if the Strategy further explained how it plans to engage stakeholders to facilitate this.</w:t>
            </w:r>
          </w:p>
          <w:p w14:paraId="0A37FAEA" w14:textId="77777777" w:rsidR="00154575" w:rsidRDefault="00154575" w:rsidP="00204769">
            <w:pPr>
              <w:pStyle w:val="TabletextrowsAgency"/>
              <w:spacing w:line="240" w:lineRule="auto"/>
              <w:jc w:val="both"/>
            </w:pPr>
          </w:p>
          <w:p w14:paraId="20A1A313" w14:textId="77777777" w:rsidR="00154575" w:rsidRDefault="00154575" w:rsidP="00204769">
            <w:pPr>
              <w:pStyle w:val="TabletextrowsAgency"/>
              <w:spacing w:line="240" w:lineRule="auto"/>
              <w:jc w:val="both"/>
            </w:pPr>
            <w:r w:rsidRPr="00256719">
              <w:t xml:space="preserve">EFPIA considers that the </w:t>
            </w:r>
            <w:proofErr w:type="spellStart"/>
            <w:r w:rsidRPr="00256719">
              <w:t>CMDh’s</w:t>
            </w:r>
            <w:proofErr w:type="spellEnd"/>
            <w:r w:rsidRPr="00256719">
              <w:t xml:space="preserve"> efforts to harmonise and streamline regulatory practices for MRP/DCP is paramount for reducing the adminis</w:t>
            </w:r>
            <w:r>
              <w:t>trative burden for National Competent Authorities</w:t>
            </w:r>
            <w:r w:rsidRPr="00256719">
              <w:t xml:space="preserve"> </w:t>
            </w:r>
            <w:r>
              <w:t xml:space="preserve">(NCAs) </w:t>
            </w:r>
            <w:r w:rsidRPr="00256719">
              <w:t>and industry</w:t>
            </w:r>
            <w:r>
              <w:t>,</w:t>
            </w:r>
            <w:r w:rsidRPr="00256719">
              <w:t xml:space="preserve"> and therefore</w:t>
            </w:r>
            <w:r>
              <w:t>,</w:t>
            </w:r>
            <w:r w:rsidRPr="00256719">
              <w:t xml:space="preserve"> the availability </w:t>
            </w:r>
            <w:r>
              <w:t xml:space="preserve">of new medicines for patients.  While noting the progress </w:t>
            </w:r>
            <w:proofErr w:type="spellStart"/>
            <w:r>
              <w:t>CMDh</w:t>
            </w:r>
            <w:proofErr w:type="spellEnd"/>
            <w:r>
              <w:t xml:space="preserve"> has achieved in this regard, EFPIA suggests that there are some areas that could benefit from even greater harmonisation.  There is a</w:t>
            </w:r>
            <w:r w:rsidRPr="00256719">
              <w:t xml:space="preserve"> need </w:t>
            </w:r>
            <w:r>
              <w:t xml:space="preserve">to seek further harmonisation also between </w:t>
            </w:r>
            <w:proofErr w:type="spellStart"/>
            <w:r>
              <w:t>CMDh</w:t>
            </w:r>
            <w:proofErr w:type="spellEnd"/>
            <w:r>
              <w:t>/NCAs</w:t>
            </w:r>
            <w:r w:rsidRPr="00256719">
              <w:t xml:space="preserve"> and EMA, specifically concerning interpretation of Directives and Regulation</w:t>
            </w:r>
            <w:r>
              <w:t>s</w:t>
            </w:r>
            <w:r w:rsidRPr="00256719">
              <w:t xml:space="preserve"> and subsequent implementation.</w:t>
            </w:r>
          </w:p>
          <w:p w14:paraId="73F9CEFD" w14:textId="77777777" w:rsidR="00154575" w:rsidRDefault="00154575" w:rsidP="00204769">
            <w:pPr>
              <w:pStyle w:val="TabletextrowsAgency"/>
              <w:spacing w:line="240" w:lineRule="auto"/>
              <w:jc w:val="both"/>
            </w:pPr>
          </w:p>
          <w:p w14:paraId="5186BDDD" w14:textId="77777777" w:rsidR="00154575" w:rsidRDefault="00154575" w:rsidP="00204769">
            <w:pPr>
              <w:pStyle w:val="TabletextrowsAgency"/>
              <w:spacing w:line="240" w:lineRule="auto"/>
              <w:jc w:val="both"/>
            </w:pPr>
            <w:r>
              <w:t xml:space="preserve">Further, the single process for submission delivery should be prioritised.  EFPIA also believes that greater transparency between the NCAs and the applicants on progress of their applications (MRP/DCP pre and post-MA applications, including cause of any delays) should be harmonised and standard practice. This could be encouraged and facilitated by the </w:t>
            </w:r>
            <w:proofErr w:type="spellStart"/>
            <w:r>
              <w:t>CMDh</w:t>
            </w:r>
            <w:proofErr w:type="spellEnd"/>
            <w:r>
              <w:t>.</w:t>
            </w:r>
          </w:p>
          <w:p w14:paraId="392EAE2A" w14:textId="77777777" w:rsidR="00154575" w:rsidRDefault="00154575" w:rsidP="00D30201">
            <w:pPr>
              <w:pStyle w:val="TabletextrowsAgency"/>
              <w:jc w:val="both"/>
            </w:pPr>
          </w:p>
        </w:tc>
      </w:tr>
      <w:tr w:rsidR="00154575" w14:paraId="1A01BDAD" w14:textId="77777777" w:rsidTr="00154575">
        <w:tc>
          <w:tcPr>
            <w:tcW w:w="5000" w:type="pct"/>
            <w:shd w:val="clear" w:color="auto" w:fill="E1E3F2"/>
          </w:tcPr>
          <w:p w14:paraId="478C1C2E" w14:textId="77777777" w:rsidR="00154575" w:rsidRPr="00A145C1" w:rsidRDefault="00154575" w:rsidP="00204769">
            <w:pPr>
              <w:pStyle w:val="TabletextrowsAgency"/>
              <w:spacing w:line="240" w:lineRule="auto"/>
              <w:rPr>
                <w:b/>
                <w:u w:val="single"/>
              </w:rPr>
            </w:pPr>
            <w:r w:rsidRPr="00A145C1">
              <w:rPr>
                <w:b/>
                <w:u w:val="single"/>
              </w:rPr>
              <w:t>Prioritising and Resourcing</w:t>
            </w:r>
          </w:p>
          <w:p w14:paraId="6521D92A" w14:textId="77777777" w:rsidR="00154575" w:rsidRDefault="00154575" w:rsidP="00204769">
            <w:pPr>
              <w:pStyle w:val="TabletextrowsAgency"/>
              <w:spacing w:line="240" w:lineRule="auto"/>
            </w:pPr>
          </w:p>
          <w:p w14:paraId="5E9512E6" w14:textId="77777777" w:rsidR="00154575" w:rsidRDefault="00154575" w:rsidP="00204769">
            <w:pPr>
              <w:pStyle w:val="TabletextrowsAgency"/>
              <w:spacing w:line="240" w:lineRule="auto"/>
              <w:jc w:val="both"/>
            </w:pPr>
            <w:r w:rsidRPr="00256719">
              <w:t xml:space="preserve">We welcome that the strategy has clear messages on the </w:t>
            </w:r>
            <w:proofErr w:type="spellStart"/>
            <w:r w:rsidRPr="00256719">
              <w:t>CMDh</w:t>
            </w:r>
            <w:r>
              <w:t>’s</w:t>
            </w:r>
            <w:proofErr w:type="spellEnd"/>
            <w:r w:rsidRPr="00256719">
              <w:t xml:space="preserve"> proposed activities through 2020. However, in order to be the most efficient and effective, it may be useful for the strategy to prioritise objectives and provide </w:t>
            </w:r>
            <w:r>
              <w:t>expected</w:t>
            </w:r>
            <w:r w:rsidRPr="00256719">
              <w:t xml:space="preserve"> timelines. It is necessary to understand how the </w:t>
            </w:r>
            <w:proofErr w:type="spellStart"/>
            <w:r w:rsidRPr="00256719">
              <w:t>CMDh</w:t>
            </w:r>
            <w:proofErr w:type="spellEnd"/>
            <w:r w:rsidRPr="00256719">
              <w:t xml:space="preserve">, </w:t>
            </w:r>
            <w:r>
              <w:t>NCAs, HMA</w:t>
            </w:r>
            <w:r w:rsidRPr="00256719">
              <w:t xml:space="preserve"> and other stakeholders will divide and coordinate activities to</w:t>
            </w:r>
            <w:r>
              <w:t xml:space="preserve"> achieve these strategic objectives.  Prioritisation, resourcing, and new initiatives should be fully communicated and established through consultation with stakeholders.  W</w:t>
            </w:r>
            <w:r w:rsidRPr="005A21FE">
              <w:t xml:space="preserve">e presume that the </w:t>
            </w:r>
            <w:proofErr w:type="spellStart"/>
            <w:r>
              <w:t>CMDh</w:t>
            </w:r>
            <w:proofErr w:type="spellEnd"/>
            <w:r w:rsidRPr="005A21FE">
              <w:t xml:space="preserve"> intends to develop task prioritisation, resource allocations, and project plans necessary for realising this strategy.  </w:t>
            </w:r>
          </w:p>
          <w:p w14:paraId="1802D7F3" w14:textId="77777777" w:rsidR="00154575" w:rsidRDefault="00154575" w:rsidP="00204769">
            <w:pPr>
              <w:pStyle w:val="TabletextrowsAgency"/>
              <w:spacing w:line="240" w:lineRule="auto"/>
              <w:jc w:val="both"/>
            </w:pPr>
          </w:p>
          <w:p w14:paraId="40234950" w14:textId="77777777" w:rsidR="00154575" w:rsidRDefault="00154575" w:rsidP="00204769">
            <w:pPr>
              <w:pStyle w:val="TabletextrowsAgency"/>
              <w:spacing w:line="240" w:lineRule="auto"/>
              <w:jc w:val="both"/>
            </w:pPr>
            <w:r w:rsidRPr="00256719">
              <w:t xml:space="preserve">It would be </w:t>
            </w:r>
            <w:r>
              <w:t xml:space="preserve">most </w:t>
            </w:r>
            <w:r w:rsidRPr="00256719">
              <w:t xml:space="preserve">helpful for the </w:t>
            </w:r>
            <w:proofErr w:type="spellStart"/>
            <w:r w:rsidRPr="00256719">
              <w:t>CMDh</w:t>
            </w:r>
            <w:proofErr w:type="spellEnd"/>
            <w:r w:rsidRPr="00256719">
              <w:t xml:space="preserve"> to address the </w:t>
            </w:r>
            <w:r>
              <w:t xml:space="preserve">cases of </w:t>
            </w:r>
            <w:r w:rsidRPr="00256719">
              <w:t>old product</w:t>
            </w:r>
            <w:r>
              <w:t>s</w:t>
            </w:r>
            <w:r w:rsidRPr="00256719">
              <w:t xml:space="preserve"> with multiple national licences across the European Union, where regula</w:t>
            </w:r>
            <w:r>
              <w:t xml:space="preserve">tory maintenance is </w:t>
            </w:r>
            <w:r w:rsidRPr="00256719">
              <w:t>difficult to harmonise. It may be beneficial to consider the development of a straightforward mutual recognition</w:t>
            </w:r>
            <w:r>
              <w:t xml:space="preserve"> </w:t>
            </w:r>
            <w:r w:rsidRPr="00256719">
              <w:t>/</w:t>
            </w:r>
            <w:r>
              <w:t xml:space="preserve"> </w:t>
            </w:r>
            <w:r w:rsidRPr="00256719">
              <w:t>decentralised procedure ‘umbrella’ m</w:t>
            </w:r>
            <w:r>
              <w:t>echanism over existing National</w:t>
            </w:r>
            <w:r w:rsidRPr="00256719">
              <w:t xml:space="preserve"> procedures.</w:t>
            </w:r>
          </w:p>
          <w:p w14:paraId="24C05935" w14:textId="77777777" w:rsidR="00154575" w:rsidRDefault="00154575" w:rsidP="00204769">
            <w:pPr>
              <w:pStyle w:val="TabletextrowsAgency"/>
              <w:spacing w:line="240" w:lineRule="auto"/>
              <w:jc w:val="both"/>
            </w:pPr>
          </w:p>
          <w:p w14:paraId="022B0340" w14:textId="77777777" w:rsidR="00154575" w:rsidRDefault="00154575" w:rsidP="00204769">
            <w:pPr>
              <w:pStyle w:val="TabletextrowsAgency"/>
              <w:spacing w:line="240" w:lineRule="auto"/>
              <w:jc w:val="both"/>
            </w:pPr>
            <w:r>
              <w:t>As another priority, w</w:t>
            </w:r>
            <w:r w:rsidRPr="00630FF0">
              <w:t xml:space="preserve">e </w:t>
            </w:r>
            <w:r>
              <w:t>also believe that the Strategy to 2020 should address</w:t>
            </w:r>
            <w:r w:rsidRPr="00630FF0">
              <w:t xml:space="preserve"> the repeat-use </w:t>
            </w:r>
            <w:proofErr w:type="gramStart"/>
            <w:r w:rsidRPr="00630FF0">
              <w:t>procedure</w:t>
            </w:r>
            <w:proofErr w:type="gramEnd"/>
            <w:r w:rsidRPr="00630FF0">
              <w:t xml:space="preserve"> as the current procedure is unnecessarily burdensome.</w:t>
            </w:r>
          </w:p>
          <w:p w14:paraId="47285C2E" w14:textId="77777777" w:rsidR="00154575" w:rsidRDefault="00154575" w:rsidP="00204769">
            <w:pPr>
              <w:pStyle w:val="TabletextrowsAgency"/>
              <w:spacing w:line="240" w:lineRule="auto"/>
              <w:jc w:val="both"/>
            </w:pPr>
          </w:p>
          <w:p w14:paraId="726537D0" w14:textId="77777777" w:rsidR="00154575" w:rsidRPr="00FC4B24" w:rsidRDefault="00154575" w:rsidP="00204769">
            <w:pPr>
              <w:pStyle w:val="TabletextrowsAgency"/>
              <w:spacing w:line="240" w:lineRule="auto"/>
              <w:jc w:val="both"/>
            </w:pPr>
            <w:r>
              <w:t xml:space="preserve">Finally, it is important that implementation of the individual initiatives in the Strategy to 2020 does not delay patient access to new treatment options through MRP/DCP nor increase the burden on Regulators or on industry.  As helpful, industry would be interested in being involved and providing input during these next stages of implementation.   </w:t>
            </w:r>
          </w:p>
        </w:tc>
      </w:tr>
      <w:tr w:rsidR="00154575" w14:paraId="069AF53D" w14:textId="77777777" w:rsidTr="00154575">
        <w:tc>
          <w:tcPr>
            <w:tcW w:w="5000" w:type="pct"/>
            <w:shd w:val="clear" w:color="auto" w:fill="E1E3F2"/>
          </w:tcPr>
          <w:p w14:paraId="6F70B127" w14:textId="77777777" w:rsidR="00154575" w:rsidRPr="001F38C3" w:rsidRDefault="00154575" w:rsidP="00204769">
            <w:pPr>
              <w:pStyle w:val="TabletextrowsAgency"/>
              <w:spacing w:line="240" w:lineRule="auto"/>
              <w:rPr>
                <w:b/>
                <w:u w:val="single"/>
              </w:rPr>
            </w:pPr>
            <w:r w:rsidRPr="001F38C3">
              <w:rPr>
                <w:b/>
                <w:u w:val="single"/>
              </w:rPr>
              <w:lastRenderedPageBreak/>
              <w:t>Communicating Progress</w:t>
            </w:r>
          </w:p>
          <w:p w14:paraId="51490EAB" w14:textId="77777777" w:rsidR="00154575" w:rsidRDefault="00154575" w:rsidP="00204769">
            <w:pPr>
              <w:pStyle w:val="TabletextrowsAgency"/>
              <w:spacing w:line="240" w:lineRule="auto"/>
            </w:pPr>
          </w:p>
          <w:p w14:paraId="7AC4865E" w14:textId="77777777" w:rsidR="00154575" w:rsidRDefault="00154575" w:rsidP="00204769">
            <w:pPr>
              <w:pStyle w:val="TabletextrowsAgency"/>
              <w:spacing w:line="240" w:lineRule="auto"/>
              <w:jc w:val="both"/>
            </w:pPr>
            <w:r w:rsidRPr="00A145C1">
              <w:t>EFPIA propose</w:t>
            </w:r>
            <w:r>
              <w:t>s</w:t>
            </w:r>
            <w:r w:rsidRPr="00A145C1">
              <w:t xml:space="preserve"> that </w:t>
            </w:r>
            <w:proofErr w:type="spellStart"/>
            <w:r>
              <w:t>CMDh</w:t>
            </w:r>
            <w:proofErr w:type="spellEnd"/>
            <w:r w:rsidRPr="00A145C1">
              <w:t xml:space="preserve"> develop a </w:t>
            </w:r>
            <w:r>
              <w:t xml:space="preserve">full </w:t>
            </w:r>
            <w:r w:rsidRPr="00A145C1">
              <w:t xml:space="preserve">communication </w:t>
            </w:r>
            <w:r>
              <w:t xml:space="preserve">strategy </w:t>
            </w:r>
            <w:r w:rsidRPr="00A145C1">
              <w:t xml:space="preserve">to ensure that all of the concerned stakeholders remain informed on the progress.  </w:t>
            </w:r>
            <w:r>
              <w:t xml:space="preserve">As one aspect of this plan, perhaps, </w:t>
            </w:r>
            <w:proofErr w:type="spellStart"/>
            <w:r>
              <w:t>CMDh’s</w:t>
            </w:r>
            <w:proofErr w:type="spellEnd"/>
            <w:r>
              <w:t xml:space="preserve"> Strategy to 2020 could be a standing agenda topic during the </w:t>
            </w:r>
            <w:r w:rsidRPr="009455F0">
              <w:t xml:space="preserve">biannual </w:t>
            </w:r>
            <w:r>
              <w:t xml:space="preserve">Interested Party meetings for which industry participates.  If so, updates on the </w:t>
            </w:r>
            <w:proofErr w:type="spellStart"/>
            <w:r>
              <w:t>CMDh’s</w:t>
            </w:r>
            <w:proofErr w:type="spellEnd"/>
            <w:r>
              <w:t xml:space="preserve"> current priority activities, resourcing issues and opportunities for further collaboration would be welcomed.  </w:t>
            </w:r>
          </w:p>
          <w:p w14:paraId="6063B297" w14:textId="77777777" w:rsidR="00154575" w:rsidRDefault="00154575" w:rsidP="00204769">
            <w:pPr>
              <w:pStyle w:val="TabletextrowsAgency"/>
              <w:spacing w:line="240" w:lineRule="auto"/>
              <w:jc w:val="both"/>
            </w:pPr>
          </w:p>
          <w:p w14:paraId="62D2BC9E" w14:textId="77777777" w:rsidR="00154575" w:rsidRDefault="00154575" w:rsidP="00204769">
            <w:pPr>
              <w:pStyle w:val="TabletextrowsAgency"/>
              <w:spacing w:line="240" w:lineRule="auto"/>
              <w:jc w:val="both"/>
            </w:pPr>
            <w:proofErr w:type="spellStart"/>
            <w:r w:rsidRPr="00F603B6">
              <w:t>CMDh</w:t>
            </w:r>
            <w:proofErr w:type="spellEnd"/>
            <w:r w:rsidRPr="00F603B6">
              <w:t xml:space="preserve"> </w:t>
            </w:r>
            <w:r>
              <w:t>notes that the “</w:t>
            </w:r>
            <w:r w:rsidRPr="00F603B6">
              <w:t>strategy will be complemented by annual work plans which will set up more detailed activities to take forward the high level strategy</w:t>
            </w:r>
            <w:r>
              <w:t>”</w:t>
            </w:r>
            <w:r w:rsidRPr="00F603B6">
              <w:rPr>
                <w:vertAlign w:val="superscript"/>
              </w:rPr>
              <w:t>1</w:t>
            </w:r>
            <w:r w:rsidRPr="00F603B6">
              <w:t>.</w:t>
            </w:r>
            <w:r>
              <w:t xml:space="preserve"> While EFPIA appreciates that these work plans may not be directly posted, as much as possible, the general work plans and progress made within the work plans should be shared with stakeholders.</w:t>
            </w:r>
          </w:p>
          <w:p w14:paraId="6BC7412A" w14:textId="77777777" w:rsidR="00F37006" w:rsidRDefault="00F37006" w:rsidP="00204769">
            <w:pPr>
              <w:pStyle w:val="TabletextrowsAgency"/>
              <w:spacing w:line="240" w:lineRule="auto"/>
              <w:jc w:val="both"/>
            </w:pPr>
          </w:p>
        </w:tc>
      </w:tr>
    </w:tbl>
    <w:p w14:paraId="01BECFE0" w14:textId="77777777" w:rsidR="005D6621" w:rsidRDefault="005D6621">
      <w:pPr>
        <w:pStyle w:val="BodytextAgency"/>
      </w:pPr>
    </w:p>
    <w:p w14:paraId="10396605" w14:textId="77777777" w:rsidR="005D6621" w:rsidRDefault="005D6621">
      <w:pPr>
        <w:pStyle w:val="Heading1Agency"/>
        <w:pageBreakBefore/>
      </w:pPr>
      <w:r>
        <w:lastRenderedPageBreak/>
        <w:t>Specific comments on text</w:t>
      </w:r>
    </w:p>
    <w:tbl>
      <w:tblPr>
        <w:tblW w:w="4878" w:type="pct"/>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1E0" w:firstRow="1" w:lastRow="1" w:firstColumn="1" w:lastColumn="1" w:noHBand="0" w:noVBand="0"/>
      </w:tblPr>
      <w:tblGrid>
        <w:gridCol w:w="1907"/>
        <w:gridCol w:w="12518"/>
      </w:tblGrid>
      <w:tr w:rsidR="00154575" w14:paraId="7737C73D" w14:textId="77777777" w:rsidTr="00154575">
        <w:trPr>
          <w:trHeight w:val="741"/>
          <w:tblHeader/>
        </w:trPr>
        <w:tc>
          <w:tcPr>
            <w:tcW w:w="661" w:type="pct"/>
            <w:tcBorders>
              <w:top w:val="nil"/>
              <w:left w:val="nil"/>
              <w:bottom w:val="nil"/>
              <w:right w:val="nil"/>
            </w:tcBorders>
            <w:shd w:val="clear" w:color="auto" w:fill="003399"/>
          </w:tcPr>
          <w:p w14:paraId="050B96A7" w14:textId="77777777" w:rsidR="00154575" w:rsidRDefault="00154575">
            <w:pPr>
              <w:pStyle w:val="TableheadingrowsAgency"/>
              <w:rPr>
                <w:b w:val="0"/>
              </w:rPr>
            </w:pPr>
            <w:r>
              <w:rPr>
                <w:b w:val="0"/>
              </w:rPr>
              <w:t>Line number(s) of the relevant text</w:t>
            </w:r>
          </w:p>
          <w:p w14:paraId="289F3E11" w14:textId="42983749" w:rsidR="00154575" w:rsidRDefault="00154575" w:rsidP="00154575">
            <w:pPr>
              <w:pStyle w:val="TableheadingrowsAgency"/>
              <w:rPr>
                <w:b w:val="0"/>
                <w:i/>
                <w:color w:val="339966"/>
              </w:rPr>
            </w:pPr>
          </w:p>
        </w:tc>
        <w:tc>
          <w:tcPr>
            <w:tcW w:w="4339" w:type="pct"/>
            <w:tcBorders>
              <w:top w:val="nil"/>
              <w:left w:val="nil"/>
              <w:bottom w:val="nil"/>
              <w:right w:val="nil"/>
            </w:tcBorders>
            <w:shd w:val="clear" w:color="auto" w:fill="003399"/>
          </w:tcPr>
          <w:p w14:paraId="0C31FC59" w14:textId="77777777" w:rsidR="00154575" w:rsidRDefault="00154575">
            <w:pPr>
              <w:pStyle w:val="TableheadingrowsAgency"/>
              <w:rPr>
                <w:b w:val="0"/>
              </w:rPr>
            </w:pPr>
            <w:r>
              <w:rPr>
                <w:b w:val="0"/>
              </w:rPr>
              <w:t>Comment and rationale; proposed changes</w:t>
            </w:r>
          </w:p>
          <w:p w14:paraId="74AA8C84" w14:textId="7D428C8E" w:rsidR="00154575" w:rsidRDefault="00154575" w:rsidP="00154575">
            <w:pPr>
              <w:pStyle w:val="TableheadingrowsAgency"/>
              <w:rPr>
                <w:b w:val="0"/>
                <w:i/>
                <w:color w:val="339966"/>
              </w:rPr>
            </w:pPr>
          </w:p>
        </w:tc>
      </w:tr>
      <w:tr w:rsidR="00154575" w14:paraId="0E272531" w14:textId="77777777" w:rsidTr="00154575">
        <w:tc>
          <w:tcPr>
            <w:tcW w:w="661" w:type="pct"/>
            <w:shd w:val="clear" w:color="auto" w:fill="E1E3F2"/>
          </w:tcPr>
          <w:p w14:paraId="31E367B9" w14:textId="77777777" w:rsidR="00154575" w:rsidRDefault="00154575">
            <w:pPr>
              <w:pStyle w:val="TabletextrowsAgency"/>
            </w:pPr>
            <w:r>
              <w:t>Page 4</w:t>
            </w:r>
          </w:p>
        </w:tc>
        <w:tc>
          <w:tcPr>
            <w:tcW w:w="4339" w:type="pct"/>
            <w:shd w:val="clear" w:color="auto" w:fill="E1E3F2"/>
          </w:tcPr>
          <w:p w14:paraId="456921E1" w14:textId="77777777" w:rsidR="00154575" w:rsidRDefault="00154575" w:rsidP="00204769">
            <w:pPr>
              <w:pStyle w:val="TabletextrowsAgency"/>
              <w:spacing w:line="240" w:lineRule="auto"/>
              <w:jc w:val="both"/>
            </w:pPr>
            <w:r>
              <w:t>In its Strategy to 2020, the potential interactions with Healthcare Technology Assessment (HTA) bodies are not mentioned. It would be helpful to suggest where interactions including HTA bodies may occur.</w:t>
            </w:r>
          </w:p>
          <w:p w14:paraId="61F654EA" w14:textId="77777777" w:rsidR="005B7477" w:rsidRDefault="005B7477" w:rsidP="00204769">
            <w:pPr>
              <w:pStyle w:val="TabletextrowsAgency"/>
              <w:spacing w:line="240" w:lineRule="auto"/>
              <w:jc w:val="both"/>
            </w:pPr>
          </w:p>
        </w:tc>
      </w:tr>
      <w:tr w:rsidR="00154575" w14:paraId="0F9E6EB7" w14:textId="77777777" w:rsidTr="00154575">
        <w:tc>
          <w:tcPr>
            <w:tcW w:w="661" w:type="pct"/>
            <w:shd w:val="clear" w:color="auto" w:fill="E1E3F2"/>
          </w:tcPr>
          <w:p w14:paraId="0ECA8905" w14:textId="77777777" w:rsidR="00154575" w:rsidRDefault="00154575">
            <w:pPr>
              <w:pStyle w:val="TabletextrowsAgency"/>
            </w:pPr>
            <w:r>
              <w:t>Page 5</w:t>
            </w:r>
          </w:p>
        </w:tc>
        <w:tc>
          <w:tcPr>
            <w:tcW w:w="4339" w:type="pct"/>
            <w:shd w:val="clear" w:color="auto" w:fill="E1E3F2"/>
          </w:tcPr>
          <w:p w14:paraId="474BDD08" w14:textId="77777777" w:rsidR="00154575" w:rsidRDefault="00154575" w:rsidP="00204769">
            <w:pPr>
              <w:pStyle w:val="TabletextrowsAgency"/>
              <w:spacing w:line="240" w:lineRule="auto"/>
              <w:jc w:val="both"/>
            </w:pPr>
            <w:proofErr w:type="spellStart"/>
            <w:r>
              <w:t>CMDh</w:t>
            </w:r>
            <w:proofErr w:type="spellEnd"/>
            <w:r>
              <w:t xml:space="preserve"> states its regulatory priority of “(ensuring)</w:t>
            </w:r>
            <w:r w:rsidRPr="00F603B6">
              <w:t xml:space="preserve"> clear, practical, implementable and understandable product information is communicated to patients and healthcare professionals in a timely manner</w:t>
            </w:r>
            <w:r>
              <w:t>”</w:t>
            </w:r>
            <w:r w:rsidRPr="00F603B6">
              <w:t>.</w:t>
            </w:r>
            <w:r>
              <w:t xml:space="preserve"> EFPIA concurs that this is a critical activity of </w:t>
            </w:r>
            <w:proofErr w:type="spellStart"/>
            <w:r>
              <w:t>CMDh</w:t>
            </w:r>
            <w:proofErr w:type="spellEnd"/>
            <w:r>
              <w:t xml:space="preserve"> for MRP/DCP products.  </w:t>
            </w:r>
          </w:p>
          <w:p w14:paraId="446B6375" w14:textId="77777777" w:rsidR="00154575" w:rsidRDefault="00154575" w:rsidP="00204769">
            <w:pPr>
              <w:pStyle w:val="TabletextrowsAgency"/>
              <w:spacing w:line="240" w:lineRule="auto"/>
              <w:jc w:val="both"/>
            </w:pPr>
          </w:p>
          <w:p w14:paraId="66D35A64" w14:textId="77777777" w:rsidR="00154575" w:rsidRDefault="00154575" w:rsidP="00204769">
            <w:pPr>
              <w:pStyle w:val="TabletextrowsAgency"/>
              <w:spacing w:line="240" w:lineRule="auto"/>
              <w:jc w:val="both"/>
            </w:pPr>
            <w:r>
              <w:t>The product information is able to contribute to enhancing overall patient health literacy levels. Therefore, the regulated product information must become a useful and trusted reference for informing prescribers and patients about medicines. While there is mention of the need to improve the efficiency of new information reaching patients and healthcare professionals, in terms of communications and use of digital media, the primary focus seems to be on business and regulatory needs. It would be useful for the Strategy to further address how the proposals would be expected to beneficially impact patients.</w:t>
            </w:r>
          </w:p>
          <w:p w14:paraId="553F94D4" w14:textId="77777777" w:rsidR="00154575" w:rsidRDefault="00154575" w:rsidP="00204769">
            <w:pPr>
              <w:pStyle w:val="TabletextrowsAgency"/>
              <w:spacing w:line="240" w:lineRule="auto"/>
              <w:jc w:val="both"/>
            </w:pPr>
          </w:p>
          <w:p w14:paraId="6D458AAE" w14:textId="77777777" w:rsidR="00154575" w:rsidRDefault="00154575" w:rsidP="00204769">
            <w:pPr>
              <w:pStyle w:val="TabletextrowsAgency"/>
              <w:spacing w:line="240" w:lineRule="auto"/>
              <w:jc w:val="both"/>
            </w:pPr>
            <w:r>
              <w:t>The strategy paper would also benefit by including reflections on the development in the fields of e-health. From a product information context perspective, there is a need to further streamline the dissemination of the product information. As the EU network is still lacking an up-to-date integrated database containing the product information of all the approved medicines in Europe. Further</w:t>
            </w:r>
            <w:r w:rsidRPr="00D30201">
              <w:t xml:space="preserve">, </w:t>
            </w:r>
            <w:proofErr w:type="spellStart"/>
            <w:r w:rsidRPr="00D30201">
              <w:t>CMDh’s</w:t>
            </w:r>
            <w:proofErr w:type="spellEnd"/>
            <w:r w:rsidRPr="00D30201">
              <w:t xml:space="preserve"> support and involvement in the concept of progressing the possibility of electronic package insert</w:t>
            </w:r>
            <w:r>
              <w:t>s would be welcomed by industry and help achieve this stated goal.</w:t>
            </w:r>
          </w:p>
          <w:p w14:paraId="033D7571" w14:textId="77777777" w:rsidR="005B7477" w:rsidRDefault="005B7477" w:rsidP="00204769">
            <w:pPr>
              <w:pStyle w:val="TabletextrowsAgency"/>
              <w:spacing w:line="240" w:lineRule="auto"/>
              <w:jc w:val="both"/>
            </w:pPr>
          </w:p>
        </w:tc>
      </w:tr>
      <w:tr w:rsidR="00154575" w14:paraId="3A0CA995" w14:textId="77777777" w:rsidTr="00154575">
        <w:tc>
          <w:tcPr>
            <w:tcW w:w="661" w:type="pct"/>
            <w:shd w:val="clear" w:color="auto" w:fill="E1E3F2"/>
          </w:tcPr>
          <w:p w14:paraId="4C0A0B2B" w14:textId="77777777" w:rsidR="00154575" w:rsidRDefault="00154575">
            <w:pPr>
              <w:pStyle w:val="TabletextrowsAgency"/>
            </w:pPr>
            <w:r>
              <w:t>Page 5</w:t>
            </w:r>
          </w:p>
        </w:tc>
        <w:tc>
          <w:tcPr>
            <w:tcW w:w="4339" w:type="pct"/>
            <w:shd w:val="clear" w:color="auto" w:fill="E1E3F2"/>
          </w:tcPr>
          <w:p w14:paraId="1FE61C2A" w14:textId="77777777" w:rsidR="00154575" w:rsidRDefault="00154575" w:rsidP="00204769">
            <w:pPr>
              <w:pStyle w:val="TabletextrowsAgency"/>
              <w:spacing w:line="240" w:lineRule="auto"/>
              <w:jc w:val="both"/>
            </w:pPr>
            <w:r>
              <w:t xml:space="preserve">Another </w:t>
            </w:r>
            <w:proofErr w:type="spellStart"/>
            <w:r>
              <w:t>CMDh</w:t>
            </w:r>
            <w:proofErr w:type="spellEnd"/>
            <w:r>
              <w:t xml:space="preserve"> priority is to “(</w:t>
            </w:r>
            <w:proofErr w:type="gramStart"/>
            <w:r>
              <w:t>s)</w:t>
            </w:r>
            <w:proofErr w:type="spellStart"/>
            <w:r w:rsidRPr="006426B7">
              <w:t>treamline</w:t>
            </w:r>
            <w:proofErr w:type="spellEnd"/>
            <w:proofErr w:type="gramEnd"/>
            <w:r w:rsidRPr="006426B7">
              <w:t xml:space="preserve"> processes and further reduce administrative burden for all Member States and industry and make best use of the resources available in the Member States and avoid duplication of work</w:t>
            </w:r>
            <w:r>
              <w:t>” (pg. 5)</w:t>
            </w:r>
            <w:r w:rsidRPr="006426B7">
              <w:rPr>
                <w:vertAlign w:val="superscript"/>
              </w:rPr>
              <w:t>1</w:t>
            </w:r>
            <w:r w:rsidRPr="006426B7">
              <w:t>.</w:t>
            </w:r>
            <w:r>
              <w:t xml:space="preserve">  </w:t>
            </w:r>
            <w:r w:rsidRPr="00C15B24">
              <w:t>Re</w:t>
            </w:r>
            <w:r>
              <w:t>garding reduction of</w:t>
            </w:r>
            <w:r w:rsidRPr="00C15B24">
              <w:t xml:space="preserve"> the administrative burden</w:t>
            </w:r>
            <w:r>
              <w:t>,</w:t>
            </w:r>
            <w:r w:rsidRPr="00C15B24">
              <w:t xml:space="preserve"> </w:t>
            </w:r>
            <w:r>
              <w:t>it would be useful to consider</w:t>
            </w:r>
            <w:r w:rsidRPr="00C15B24">
              <w:t xml:space="preserve"> the issue of additional national requirements</w:t>
            </w:r>
            <w:r>
              <w:t xml:space="preserve">.  While significant progress has been made on this aspect, </w:t>
            </w:r>
            <w:r w:rsidRPr="00C15B24">
              <w:t>continued attention</w:t>
            </w:r>
            <w:r>
              <w:t xml:space="preserve"> is warranted</w:t>
            </w:r>
            <w:r w:rsidRPr="00C15B24">
              <w:t xml:space="preserve"> </w:t>
            </w:r>
            <w:r>
              <w:t>(</w:t>
            </w:r>
            <w:r w:rsidRPr="00C15B24">
              <w:rPr>
                <w:i/>
              </w:rPr>
              <w:t>e.g.,</w:t>
            </w:r>
            <w:r>
              <w:t xml:space="preserve"> CESP</w:t>
            </w:r>
            <w:r w:rsidRPr="00C15B24">
              <w:t>).</w:t>
            </w:r>
          </w:p>
          <w:p w14:paraId="1F251AFC" w14:textId="77777777" w:rsidR="005B7477" w:rsidRDefault="005B7477" w:rsidP="00204769">
            <w:pPr>
              <w:pStyle w:val="TabletextrowsAgency"/>
              <w:spacing w:line="240" w:lineRule="auto"/>
              <w:jc w:val="both"/>
            </w:pPr>
          </w:p>
        </w:tc>
      </w:tr>
      <w:tr w:rsidR="00154575" w14:paraId="1D595838" w14:textId="77777777" w:rsidTr="00154575">
        <w:tc>
          <w:tcPr>
            <w:tcW w:w="661" w:type="pct"/>
            <w:shd w:val="clear" w:color="auto" w:fill="E1E3F2"/>
          </w:tcPr>
          <w:p w14:paraId="12D2925F" w14:textId="77777777" w:rsidR="00154575" w:rsidRDefault="00154575">
            <w:pPr>
              <w:pStyle w:val="TabletextrowsAgency"/>
            </w:pPr>
            <w:r>
              <w:t>Page 5</w:t>
            </w:r>
          </w:p>
        </w:tc>
        <w:tc>
          <w:tcPr>
            <w:tcW w:w="4339" w:type="pct"/>
            <w:shd w:val="clear" w:color="auto" w:fill="E1E3F2"/>
          </w:tcPr>
          <w:p w14:paraId="59D340E9" w14:textId="77777777" w:rsidR="00154575" w:rsidRDefault="00154575" w:rsidP="00204769">
            <w:pPr>
              <w:pStyle w:val="TabletextrowsAgency"/>
              <w:spacing w:line="240" w:lineRule="auto"/>
              <w:jc w:val="both"/>
            </w:pPr>
            <w:r w:rsidRPr="00581683">
              <w:t>EFPIA believ</w:t>
            </w:r>
            <w:r>
              <w:t>es that the</w:t>
            </w:r>
            <w:r w:rsidRPr="00581683">
              <w:t xml:space="preserve"> objective </w:t>
            </w:r>
            <w:r>
              <w:t xml:space="preserve">‘to streamline’ </w:t>
            </w:r>
            <w:r w:rsidRPr="00581683">
              <w:t>could benefit from enhanced tracking for the applicant to check the status of their submission(s) and the ability to make available pre-established calendars (as is done by EMA).</w:t>
            </w:r>
          </w:p>
          <w:p w14:paraId="207FBA78" w14:textId="77777777" w:rsidR="005B7477" w:rsidRDefault="005B7477" w:rsidP="00204769">
            <w:pPr>
              <w:pStyle w:val="TabletextrowsAgency"/>
              <w:spacing w:line="240" w:lineRule="auto"/>
              <w:jc w:val="both"/>
            </w:pPr>
          </w:p>
        </w:tc>
      </w:tr>
      <w:tr w:rsidR="00154575" w14:paraId="49266EA8" w14:textId="77777777" w:rsidTr="00154575">
        <w:tc>
          <w:tcPr>
            <w:tcW w:w="661" w:type="pct"/>
            <w:shd w:val="clear" w:color="auto" w:fill="E1E3F2"/>
          </w:tcPr>
          <w:p w14:paraId="079A0D5A" w14:textId="77777777" w:rsidR="00154575" w:rsidRDefault="00154575">
            <w:pPr>
              <w:pStyle w:val="TabletextrowsAgency"/>
            </w:pPr>
            <w:r>
              <w:t>Page 5</w:t>
            </w:r>
          </w:p>
        </w:tc>
        <w:tc>
          <w:tcPr>
            <w:tcW w:w="4339" w:type="pct"/>
            <w:shd w:val="clear" w:color="auto" w:fill="E1E3F2"/>
          </w:tcPr>
          <w:p w14:paraId="3C135C5E" w14:textId="77777777" w:rsidR="00154575" w:rsidRDefault="00154575" w:rsidP="00204769">
            <w:pPr>
              <w:pStyle w:val="TabletextrowsAgency"/>
              <w:spacing w:line="240" w:lineRule="auto"/>
              <w:jc w:val="both"/>
            </w:pPr>
            <w:r>
              <w:t xml:space="preserve">Also for harmonisation, </w:t>
            </w:r>
            <w:proofErr w:type="spellStart"/>
            <w:r>
              <w:t>CMDh</w:t>
            </w:r>
            <w:proofErr w:type="spellEnd"/>
            <w:r>
              <w:t xml:space="preserve"> could consider posting on its website the priorities and challenges identified by the Working Parties of the </w:t>
            </w:r>
            <w:proofErr w:type="spellStart"/>
            <w:r>
              <w:t>CMDh</w:t>
            </w:r>
            <w:proofErr w:type="spellEnd"/>
            <w:r>
              <w:t xml:space="preserve">. </w:t>
            </w:r>
          </w:p>
          <w:p w14:paraId="4DCB4403" w14:textId="77777777" w:rsidR="00154575" w:rsidRDefault="00154575" w:rsidP="00204769">
            <w:pPr>
              <w:pStyle w:val="TabletextrowsAgency"/>
              <w:spacing w:line="240" w:lineRule="auto"/>
              <w:jc w:val="both"/>
            </w:pPr>
          </w:p>
          <w:p w14:paraId="186E19B1" w14:textId="77777777" w:rsidR="00154575" w:rsidRDefault="00154575" w:rsidP="00204769">
            <w:pPr>
              <w:pStyle w:val="TabletextrowsAgency"/>
              <w:spacing w:line="240" w:lineRule="auto"/>
              <w:jc w:val="both"/>
            </w:pPr>
            <w:r>
              <w:t>It is recognised that further integration in topic discussions with EMA (</w:t>
            </w:r>
            <w:r w:rsidRPr="00914280">
              <w:rPr>
                <w:i/>
              </w:rPr>
              <w:t>e.g.,</w:t>
            </w:r>
            <w:r>
              <w:t xml:space="preserve"> stakeholder meetings) would be welcomed in order to </w:t>
            </w:r>
            <w:r>
              <w:lastRenderedPageBreak/>
              <w:t>achieve harmonisation and further development of network.</w:t>
            </w:r>
          </w:p>
          <w:p w14:paraId="09FCF3F8" w14:textId="77777777" w:rsidR="005B7477" w:rsidRPr="00581683" w:rsidRDefault="005B7477" w:rsidP="00204769">
            <w:pPr>
              <w:pStyle w:val="TabletextrowsAgency"/>
              <w:spacing w:line="240" w:lineRule="auto"/>
              <w:jc w:val="both"/>
            </w:pPr>
          </w:p>
        </w:tc>
      </w:tr>
      <w:tr w:rsidR="00154575" w14:paraId="1A65B71B" w14:textId="77777777" w:rsidTr="00154575">
        <w:tc>
          <w:tcPr>
            <w:tcW w:w="661" w:type="pct"/>
            <w:shd w:val="clear" w:color="auto" w:fill="E1E3F2"/>
          </w:tcPr>
          <w:p w14:paraId="626FFD2B" w14:textId="77777777" w:rsidR="00154575" w:rsidRDefault="00154575">
            <w:pPr>
              <w:pStyle w:val="TabletextrowsAgency"/>
            </w:pPr>
            <w:r>
              <w:lastRenderedPageBreak/>
              <w:t>Page 5</w:t>
            </w:r>
          </w:p>
        </w:tc>
        <w:tc>
          <w:tcPr>
            <w:tcW w:w="4339" w:type="pct"/>
            <w:shd w:val="clear" w:color="auto" w:fill="E1E3F2"/>
          </w:tcPr>
          <w:p w14:paraId="52DC561E" w14:textId="77777777" w:rsidR="00154575" w:rsidRDefault="00154575" w:rsidP="00204769">
            <w:pPr>
              <w:pStyle w:val="TabletextrowsAgency"/>
              <w:spacing w:line="240" w:lineRule="auto"/>
              <w:jc w:val="both"/>
            </w:pPr>
            <w:r w:rsidRPr="00C15B24">
              <w:t xml:space="preserve">The role of the </w:t>
            </w:r>
            <w:r>
              <w:t>Reference Member State (</w:t>
            </w:r>
            <w:r w:rsidRPr="00C15B24">
              <w:t>RMS</w:t>
            </w:r>
            <w:r>
              <w:t>)</w:t>
            </w:r>
            <w:r w:rsidRPr="00C15B24">
              <w:t xml:space="preserve"> should be further defined. Several initiatives have </w:t>
            </w:r>
            <w:r>
              <w:t>begun</w:t>
            </w:r>
            <w:r w:rsidRPr="00C15B24">
              <w:t xml:space="preserve"> already. </w:t>
            </w:r>
            <w:r>
              <w:t>However,</w:t>
            </w:r>
            <w:r w:rsidRPr="00C15B24">
              <w:t xml:space="preserve"> </w:t>
            </w:r>
            <w:r>
              <w:t>over the long-</w:t>
            </w:r>
            <w:r w:rsidRPr="00C15B24">
              <w:t>term</w:t>
            </w:r>
            <w:r>
              <w:t>,</w:t>
            </w:r>
            <w:r w:rsidRPr="00C15B24">
              <w:t xml:space="preserve"> </w:t>
            </w:r>
            <w:r>
              <w:t>the RMS’s</w:t>
            </w:r>
            <w:r w:rsidRPr="00C15B24">
              <w:t xml:space="preserve"> </w:t>
            </w:r>
            <w:r>
              <w:t xml:space="preserve">role </w:t>
            </w:r>
            <w:r w:rsidRPr="00C15B24">
              <w:t xml:space="preserve">should be further reinforced </w:t>
            </w:r>
            <w:r>
              <w:t>regarding decision making in order to</w:t>
            </w:r>
            <w:r w:rsidRPr="00C15B24">
              <w:t xml:space="preserve"> avoid any kind of arbitration between the RMS &amp; one or more of the </w:t>
            </w:r>
            <w:r>
              <w:t>Concerned Member States (</w:t>
            </w:r>
            <w:r w:rsidRPr="00C15B24">
              <w:t>CMS</w:t>
            </w:r>
            <w:r>
              <w:t>).</w:t>
            </w:r>
          </w:p>
          <w:p w14:paraId="0BED6288" w14:textId="77777777" w:rsidR="005B7477" w:rsidRPr="00581683" w:rsidRDefault="005B7477" w:rsidP="00204769">
            <w:pPr>
              <w:pStyle w:val="TabletextrowsAgency"/>
              <w:spacing w:line="240" w:lineRule="auto"/>
              <w:jc w:val="both"/>
            </w:pPr>
          </w:p>
        </w:tc>
      </w:tr>
      <w:tr w:rsidR="00154575" w14:paraId="555BA85C" w14:textId="77777777" w:rsidTr="00154575">
        <w:tc>
          <w:tcPr>
            <w:tcW w:w="661" w:type="pct"/>
            <w:shd w:val="clear" w:color="auto" w:fill="E1E3F2"/>
          </w:tcPr>
          <w:p w14:paraId="4B2E48F8" w14:textId="77777777" w:rsidR="00154575" w:rsidRDefault="00154575">
            <w:pPr>
              <w:pStyle w:val="TabletextrowsAgency"/>
            </w:pPr>
            <w:r>
              <w:t>Page 5 &amp; 10</w:t>
            </w:r>
          </w:p>
        </w:tc>
        <w:tc>
          <w:tcPr>
            <w:tcW w:w="4339" w:type="pct"/>
            <w:shd w:val="clear" w:color="auto" w:fill="E1E3F2"/>
          </w:tcPr>
          <w:p w14:paraId="558847C2" w14:textId="77777777" w:rsidR="00154575" w:rsidRDefault="00154575" w:rsidP="00204769">
            <w:pPr>
              <w:pStyle w:val="TabletextrowsAgency"/>
              <w:spacing w:line="240" w:lineRule="auto"/>
              <w:jc w:val="both"/>
            </w:pPr>
            <w:proofErr w:type="spellStart"/>
            <w:r>
              <w:t>CMDh</w:t>
            </w:r>
            <w:proofErr w:type="spellEnd"/>
            <w:r>
              <w:t xml:space="preserve"> recognises the pivotal role that IT tools and systems will play in achieving enhancements in 2020 and beyond.  “</w:t>
            </w:r>
            <w:r w:rsidRPr="006426B7">
              <w:t>Support the implementation and development of new IT tools and processes (telematics), in the Member States</w:t>
            </w:r>
            <w:r>
              <w:t>”</w:t>
            </w:r>
            <w:r w:rsidRPr="006426B7">
              <w:t>.</w:t>
            </w:r>
            <w:r>
              <w:t xml:space="preserve">  While progress has been achieved, there is a</w:t>
            </w:r>
            <w:r w:rsidRPr="00C15B24">
              <w:t xml:space="preserve"> need to have comprehensive IT discussion</w:t>
            </w:r>
            <w:r>
              <w:t>s</w:t>
            </w:r>
            <w:r w:rsidRPr="00C15B24">
              <w:t xml:space="preserve"> with all stakeholders. </w:t>
            </w:r>
          </w:p>
          <w:p w14:paraId="6835CEC4" w14:textId="77777777" w:rsidR="00154575" w:rsidRDefault="00154575" w:rsidP="00204769">
            <w:pPr>
              <w:pStyle w:val="TabletextrowsAgency"/>
              <w:spacing w:line="240" w:lineRule="auto"/>
              <w:jc w:val="both"/>
            </w:pPr>
          </w:p>
          <w:p w14:paraId="734A279E" w14:textId="77777777" w:rsidR="00154575" w:rsidRDefault="00154575" w:rsidP="00204769">
            <w:pPr>
              <w:pStyle w:val="TabletextrowsAgency"/>
              <w:spacing w:line="240" w:lineRule="auto"/>
              <w:jc w:val="both"/>
            </w:pPr>
            <w:r>
              <w:t xml:space="preserve">Since there is a high level of </w:t>
            </w:r>
            <w:proofErr w:type="spellStart"/>
            <w:r>
              <w:t>ongoing</w:t>
            </w:r>
            <w:proofErr w:type="spellEnd"/>
            <w:r>
              <w:t xml:space="preserve"> telematics development work on </w:t>
            </w:r>
            <w:proofErr w:type="spellStart"/>
            <w:r>
              <w:t>EudraVigilance</w:t>
            </w:r>
            <w:proofErr w:type="spellEnd"/>
            <w:r>
              <w:t xml:space="preserve">, the PSUR repository, and EU Clinical Trials Database and Portal, EFPIA will continue to engage in dialogue with EU regulators and other stakeholders as it awaits efficient functionality of these pending systems.  </w:t>
            </w:r>
          </w:p>
          <w:p w14:paraId="7EDEC03F" w14:textId="77777777" w:rsidR="00154575" w:rsidRDefault="00154575" w:rsidP="00204769">
            <w:pPr>
              <w:pStyle w:val="TabletextrowsAgency"/>
              <w:spacing w:line="240" w:lineRule="auto"/>
              <w:jc w:val="both"/>
            </w:pPr>
          </w:p>
          <w:p w14:paraId="69E0AD4A" w14:textId="77777777" w:rsidR="00154575" w:rsidRDefault="00154575" w:rsidP="00204769">
            <w:pPr>
              <w:pStyle w:val="TabletextrowsAgency"/>
              <w:spacing w:line="240" w:lineRule="auto"/>
              <w:jc w:val="both"/>
            </w:pPr>
            <w:proofErr w:type="spellStart"/>
            <w:r>
              <w:t>CMDh</w:t>
            </w:r>
            <w:proofErr w:type="spellEnd"/>
            <w:r>
              <w:t xml:space="preserve"> could strengthen its statement on the need for the most efficient connection between the National and the EU IT systems as well as for a gradual convergence of National systems.  Also, </w:t>
            </w:r>
            <w:proofErr w:type="spellStart"/>
            <w:r>
              <w:t>CMDh</w:t>
            </w:r>
            <w:proofErr w:type="spellEnd"/>
            <w:r>
              <w:t xml:space="preserve"> could reinforce the objective of electronic submissions throu</w:t>
            </w:r>
            <w:r w:rsidRPr="00BA3516">
              <w:t>g</w:t>
            </w:r>
            <w:r>
              <w:t>h one single portal - avoiding shipments of DVDs</w:t>
            </w:r>
            <w:r w:rsidRPr="00BA3516">
              <w:t xml:space="preserve"> to agencies for ALL procedures (not only submissions of new MAA or variations)</w:t>
            </w:r>
            <w:r>
              <w:t xml:space="preserve">. </w:t>
            </w:r>
          </w:p>
          <w:p w14:paraId="428227CC" w14:textId="77777777" w:rsidR="005B7477" w:rsidRDefault="005B7477" w:rsidP="00204769">
            <w:pPr>
              <w:pStyle w:val="TabletextrowsAgency"/>
              <w:spacing w:line="240" w:lineRule="auto"/>
              <w:jc w:val="both"/>
            </w:pPr>
          </w:p>
        </w:tc>
      </w:tr>
      <w:tr w:rsidR="00154575" w14:paraId="55C42ADA" w14:textId="77777777" w:rsidTr="00154575">
        <w:tc>
          <w:tcPr>
            <w:tcW w:w="661" w:type="pct"/>
            <w:shd w:val="clear" w:color="auto" w:fill="E1E3F2"/>
          </w:tcPr>
          <w:p w14:paraId="3856B9CC" w14:textId="77777777" w:rsidR="00154575" w:rsidRPr="00DD31E1" w:rsidRDefault="00154575" w:rsidP="00DD31E1">
            <w:r>
              <w:t>Page 6</w:t>
            </w:r>
          </w:p>
        </w:tc>
        <w:tc>
          <w:tcPr>
            <w:tcW w:w="4339" w:type="pct"/>
            <w:shd w:val="clear" w:color="auto" w:fill="E1E3F2"/>
          </w:tcPr>
          <w:p w14:paraId="6B64DB67" w14:textId="77777777" w:rsidR="00154575" w:rsidRDefault="00154575" w:rsidP="00204769">
            <w:pPr>
              <w:pStyle w:val="TabletextrowsAgency"/>
              <w:spacing w:line="240" w:lineRule="auto"/>
              <w:jc w:val="both"/>
            </w:pPr>
            <w:proofErr w:type="spellStart"/>
            <w:r>
              <w:t>CMDh</w:t>
            </w:r>
            <w:proofErr w:type="spellEnd"/>
            <w:r>
              <w:t xml:space="preserve"> plans to “(</w:t>
            </w:r>
            <w:proofErr w:type="gramStart"/>
            <w:r>
              <w:t>f)</w:t>
            </w:r>
            <w:proofErr w:type="spellStart"/>
            <w:r w:rsidRPr="009F16DD">
              <w:t>urther</w:t>
            </w:r>
            <w:proofErr w:type="spellEnd"/>
            <w:proofErr w:type="gramEnd"/>
            <w:r w:rsidRPr="009F16DD">
              <w:t xml:space="preserve"> develop and enhance the collaboration between the </w:t>
            </w:r>
            <w:proofErr w:type="spellStart"/>
            <w:r w:rsidRPr="009F16DD">
              <w:t>CMDh</w:t>
            </w:r>
            <w:proofErr w:type="spellEnd"/>
            <w:r w:rsidRPr="009F16DD">
              <w:t xml:space="preserve"> and the US Food and Drug Administration (FDA), the World Health Organisation (WHO) &amp; the International Conference on Harmonisation (ICH)</w:t>
            </w:r>
            <w:r>
              <w:t>”</w:t>
            </w:r>
            <w:r w:rsidRPr="009F16DD">
              <w:t>.</w:t>
            </w:r>
            <w:r>
              <w:t xml:space="preserve">  </w:t>
            </w:r>
            <w:r w:rsidRPr="009F16DD">
              <w:t xml:space="preserve">As medicine development truly is a global venture, EFPIA </w:t>
            </w:r>
            <w:r>
              <w:t xml:space="preserve">strongly </w:t>
            </w:r>
            <w:r w:rsidRPr="009F16DD">
              <w:t>support</w:t>
            </w:r>
            <w:r>
              <w:t>s</w:t>
            </w:r>
            <w:r w:rsidRPr="009F16DD">
              <w:t xml:space="preserve"> </w:t>
            </w:r>
            <w:proofErr w:type="spellStart"/>
            <w:r>
              <w:t>CMDh</w:t>
            </w:r>
            <w:proofErr w:type="spellEnd"/>
            <w:r w:rsidRPr="009F16DD">
              <w:t xml:space="preserve"> in engaging with other regulatory agencies </w:t>
            </w:r>
            <w:r>
              <w:t>to foster greater compatibility and assist some in</w:t>
            </w:r>
            <w:r w:rsidRPr="009F16DD">
              <w:t xml:space="preserve"> develop</w:t>
            </w:r>
            <w:r>
              <w:t>ing their capabilities</w:t>
            </w:r>
            <w:r w:rsidRPr="009F16DD">
              <w:t xml:space="preserve">.  </w:t>
            </w:r>
            <w:r>
              <w:t>We encourage</w:t>
            </w:r>
            <w:r w:rsidRPr="00630FF0">
              <w:t xml:space="preserve"> </w:t>
            </w:r>
            <w:proofErr w:type="spellStart"/>
            <w:r w:rsidRPr="00630FF0">
              <w:t>CMDh</w:t>
            </w:r>
            <w:proofErr w:type="spellEnd"/>
            <w:r w:rsidRPr="00630FF0">
              <w:t xml:space="preserve"> to further define the level and type of collaboration </w:t>
            </w:r>
            <w:r>
              <w:t>with</w:t>
            </w:r>
            <w:r w:rsidRPr="00630FF0">
              <w:t xml:space="preserve">in </w:t>
            </w:r>
            <w:r>
              <w:t>the scope of</w:t>
            </w:r>
            <w:r w:rsidRPr="00630FF0">
              <w:t xml:space="preserve"> their core competencies (</w:t>
            </w:r>
            <w:r w:rsidRPr="00630FF0">
              <w:rPr>
                <w:i/>
              </w:rPr>
              <w:t>e.g.,</w:t>
            </w:r>
            <w:r w:rsidRPr="00630FF0">
              <w:t xml:space="preserve"> ASMF</w:t>
            </w:r>
            <w:r>
              <w:t xml:space="preserve">, generics applications, and mutual </w:t>
            </w:r>
            <w:r w:rsidRPr="00630FF0">
              <w:t>recognition framework).</w:t>
            </w:r>
          </w:p>
          <w:p w14:paraId="35AABA45" w14:textId="77777777" w:rsidR="005B7477" w:rsidRDefault="005B7477" w:rsidP="00204769">
            <w:pPr>
              <w:pStyle w:val="TabletextrowsAgency"/>
              <w:spacing w:line="240" w:lineRule="auto"/>
              <w:jc w:val="both"/>
            </w:pPr>
          </w:p>
        </w:tc>
      </w:tr>
      <w:tr w:rsidR="00154575" w14:paraId="60464595" w14:textId="77777777" w:rsidTr="00154575">
        <w:tc>
          <w:tcPr>
            <w:tcW w:w="661" w:type="pct"/>
            <w:shd w:val="clear" w:color="auto" w:fill="E1E3F2"/>
          </w:tcPr>
          <w:p w14:paraId="61ACD3EC" w14:textId="77777777" w:rsidR="00154575" w:rsidRDefault="00154575">
            <w:pPr>
              <w:pStyle w:val="TabletextrowsAgency"/>
            </w:pPr>
            <w:r>
              <w:t>Page 7</w:t>
            </w:r>
          </w:p>
        </w:tc>
        <w:tc>
          <w:tcPr>
            <w:tcW w:w="4339" w:type="pct"/>
            <w:shd w:val="clear" w:color="auto" w:fill="E1E3F2"/>
          </w:tcPr>
          <w:p w14:paraId="59749D22" w14:textId="77777777" w:rsidR="00154575" w:rsidRDefault="00154575" w:rsidP="00204769">
            <w:pPr>
              <w:pStyle w:val="TabletextrowsAgency"/>
              <w:spacing w:line="240" w:lineRule="auto"/>
              <w:jc w:val="both"/>
            </w:pPr>
            <w:r>
              <w:t xml:space="preserve">In its strategy, </w:t>
            </w:r>
            <w:proofErr w:type="spellStart"/>
            <w:r>
              <w:t>CMDh</w:t>
            </w:r>
            <w:proofErr w:type="spellEnd"/>
            <w:r>
              <w:t xml:space="preserve"> acknowledges that “(</w:t>
            </w:r>
            <w:proofErr w:type="gramStart"/>
            <w:r>
              <w:t>s)</w:t>
            </w:r>
            <w:proofErr w:type="spellStart"/>
            <w:r w:rsidRPr="004935E1">
              <w:t>ome</w:t>
            </w:r>
            <w:proofErr w:type="spellEnd"/>
            <w:proofErr w:type="gramEnd"/>
            <w:r w:rsidRPr="004935E1">
              <w:t xml:space="preserve"> steps of these procedures, like validation/granting the national license after the MRP/DCP has been finalised, may need further improvement. </w:t>
            </w:r>
            <w:r>
              <w:t xml:space="preserve"> </w:t>
            </w:r>
            <w:r w:rsidRPr="004935E1">
              <w:t>Further ideas need to be explored together with trade associations</w:t>
            </w:r>
            <w:r>
              <w:t>”</w:t>
            </w:r>
            <w:r w:rsidRPr="004935E1">
              <w:t>.</w:t>
            </w:r>
            <w:r>
              <w:t xml:space="preserve"> EFPIA appreciates the suggested opportunity to participate in consideration of ideas for further improvement.  </w:t>
            </w:r>
            <w:r w:rsidRPr="00DD23E9">
              <w:t>EFPIA agrees with this objective and would prioritise it ov</w:t>
            </w:r>
            <w:r>
              <w:t xml:space="preserve">er many of the other stated objectives in order to </w:t>
            </w:r>
            <w:r w:rsidRPr="00210F7A">
              <w:t>reduce admin</w:t>
            </w:r>
            <w:r>
              <w:t>istrative</w:t>
            </w:r>
            <w:r w:rsidRPr="00210F7A">
              <w:t xml:space="preserve"> burden and facilitate availability </w:t>
            </w:r>
            <w:r>
              <w:t xml:space="preserve">of medicines </w:t>
            </w:r>
            <w:r w:rsidRPr="00210F7A">
              <w:t>to patients</w:t>
            </w:r>
            <w:r>
              <w:t>.</w:t>
            </w:r>
            <w:r w:rsidRPr="00DD23E9">
              <w:t xml:space="preserve"> </w:t>
            </w:r>
          </w:p>
          <w:p w14:paraId="69BD09A6" w14:textId="77777777" w:rsidR="00154575" w:rsidRDefault="00154575" w:rsidP="00204769">
            <w:pPr>
              <w:pStyle w:val="TabletextrowsAgency"/>
              <w:spacing w:line="240" w:lineRule="auto"/>
              <w:jc w:val="both"/>
            </w:pPr>
          </w:p>
          <w:p w14:paraId="14281F84" w14:textId="77777777" w:rsidR="00154575" w:rsidRDefault="00154575" w:rsidP="00204769">
            <w:pPr>
              <w:pStyle w:val="TabletextrowsAgency"/>
              <w:spacing w:line="240" w:lineRule="auto"/>
              <w:jc w:val="both"/>
            </w:pPr>
            <w:r>
              <w:t xml:space="preserve">In its coordination role, </w:t>
            </w:r>
            <w:proofErr w:type="spellStart"/>
            <w:r>
              <w:t>CMDh</w:t>
            </w:r>
            <w:proofErr w:type="spellEnd"/>
            <w:r>
              <w:t xml:space="preserve"> could work to ensure that the NCAs release National authorisations within an expedient time (</w:t>
            </w:r>
            <w:r w:rsidRPr="00BC0CE7">
              <w:rPr>
                <w:i/>
              </w:rPr>
              <w:t>i.e.,</w:t>
            </w:r>
            <w:r>
              <w:t xml:space="preserve"> 1 month). Not only should the </w:t>
            </w:r>
            <w:proofErr w:type="spellStart"/>
            <w:r>
              <w:t>CMDh</w:t>
            </w:r>
            <w:proofErr w:type="spellEnd"/>
            <w:r>
              <w:t xml:space="preserve"> investigate other, more efficient ways in which to obtain a marketing authorisation in a Member State (where a medicinal product is not already authorised), but the </w:t>
            </w:r>
            <w:proofErr w:type="spellStart"/>
            <w:r>
              <w:t>CMDh</w:t>
            </w:r>
            <w:proofErr w:type="spellEnd"/>
            <w:r>
              <w:t xml:space="preserve"> should also consider simplifying the existing repeat-use procedure (RUP). </w:t>
            </w:r>
          </w:p>
          <w:p w14:paraId="624DC83E" w14:textId="77777777" w:rsidR="00154575" w:rsidRDefault="00154575" w:rsidP="00204769">
            <w:pPr>
              <w:pStyle w:val="TabletextrowsAgency"/>
              <w:spacing w:line="240" w:lineRule="auto"/>
              <w:jc w:val="both"/>
            </w:pPr>
          </w:p>
          <w:p w14:paraId="5D07E2B1" w14:textId="77777777" w:rsidR="00154575" w:rsidRDefault="00154575" w:rsidP="00204769">
            <w:pPr>
              <w:pStyle w:val="TabletextrowsAgency"/>
              <w:spacing w:line="240" w:lineRule="auto"/>
              <w:jc w:val="both"/>
            </w:pPr>
            <w:r>
              <w:lastRenderedPageBreak/>
              <w:t xml:space="preserve">One approach is to adopt a simplified, administrative procedure similar to the Day 0 RUP introduced by Cyprus or a shortened procedure similar to the simplified CADREAC procedure.  A simplified approach would be particularly </w:t>
            </w:r>
            <w:r w:rsidRPr="00210F7A">
              <w:t xml:space="preserve">helpful where a national licence is held by a </w:t>
            </w:r>
            <w:r>
              <w:t>NCA</w:t>
            </w:r>
            <w:r w:rsidRPr="00210F7A">
              <w:t xml:space="preserve"> that wants to join an existing MRP.</w:t>
            </w:r>
          </w:p>
          <w:p w14:paraId="129076EC" w14:textId="77777777" w:rsidR="00154575" w:rsidRDefault="00154575" w:rsidP="00204769">
            <w:pPr>
              <w:pStyle w:val="TabletextrowsAgency"/>
              <w:spacing w:line="240" w:lineRule="auto"/>
              <w:jc w:val="both"/>
            </w:pPr>
          </w:p>
          <w:p w14:paraId="1741F15C" w14:textId="77777777" w:rsidR="00154575" w:rsidRDefault="00154575" w:rsidP="00204769">
            <w:pPr>
              <w:pStyle w:val="TabletextrowsAgency"/>
              <w:spacing w:line="240" w:lineRule="auto"/>
              <w:jc w:val="both"/>
            </w:pPr>
            <w:r>
              <w:t>Finally, i</w:t>
            </w:r>
            <w:r w:rsidRPr="00210F7A">
              <w:t>t should also be clarified that this objective includes the translation review process.</w:t>
            </w:r>
          </w:p>
          <w:p w14:paraId="4B2EEE50" w14:textId="77777777" w:rsidR="005B7477" w:rsidRDefault="005B7477" w:rsidP="00204769">
            <w:pPr>
              <w:pStyle w:val="TabletextrowsAgency"/>
              <w:spacing w:line="240" w:lineRule="auto"/>
              <w:jc w:val="both"/>
            </w:pPr>
          </w:p>
        </w:tc>
      </w:tr>
      <w:tr w:rsidR="00154575" w14:paraId="4051D40E" w14:textId="77777777" w:rsidTr="00154575">
        <w:tc>
          <w:tcPr>
            <w:tcW w:w="661" w:type="pct"/>
            <w:shd w:val="clear" w:color="auto" w:fill="E1E3F2"/>
          </w:tcPr>
          <w:p w14:paraId="02E8553A" w14:textId="77777777" w:rsidR="00154575" w:rsidRDefault="00154575">
            <w:pPr>
              <w:pStyle w:val="TabletextrowsAgency"/>
            </w:pPr>
            <w:r>
              <w:lastRenderedPageBreak/>
              <w:t>Page 7</w:t>
            </w:r>
          </w:p>
        </w:tc>
        <w:tc>
          <w:tcPr>
            <w:tcW w:w="4339" w:type="pct"/>
            <w:shd w:val="clear" w:color="auto" w:fill="E1E3F2"/>
          </w:tcPr>
          <w:p w14:paraId="57D52279" w14:textId="77777777" w:rsidR="005B7477" w:rsidRDefault="00154575" w:rsidP="005B7477">
            <w:pPr>
              <w:pStyle w:val="TabletextrowsAgency"/>
              <w:spacing w:line="240" w:lineRule="auto"/>
            </w:pPr>
            <w:r>
              <w:t xml:space="preserve">EFPIA considers </w:t>
            </w:r>
            <w:proofErr w:type="spellStart"/>
            <w:r>
              <w:t>CMDh’s</w:t>
            </w:r>
            <w:proofErr w:type="spellEnd"/>
            <w:r>
              <w:t xml:space="preserve"> mention of the “</w:t>
            </w:r>
            <w:r w:rsidRPr="00181F49">
              <w:t xml:space="preserve">possibility for an applicant to ask scientific/regulatory advice from </w:t>
            </w:r>
            <w:proofErr w:type="spellStart"/>
            <w:r w:rsidRPr="00181F49">
              <w:t>CMDh</w:t>
            </w:r>
            <w:proofErr w:type="spellEnd"/>
            <w:r w:rsidRPr="00181F49">
              <w:t xml:space="preserve"> before subm</w:t>
            </w:r>
            <w:r>
              <w:t xml:space="preserve">ission of the application” most essential.  </w:t>
            </w:r>
          </w:p>
          <w:p w14:paraId="3F39CC99" w14:textId="77777777" w:rsidR="00154575" w:rsidRDefault="00154575" w:rsidP="005B7477">
            <w:pPr>
              <w:pStyle w:val="TabletextrowsAgency"/>
              <w:spacing w:line="240" w:lineRule="auto"/>
            </w:pPr>
            <w:r>
              <w:br/>
              <w:t xml:space="preserve">Published regulatory agency data demonstrate that early and </w:t>
            </w:r>
            <w:proofErr w:type="spellStart"/>
            <w:r>
              <w:t>ongoing</w:t>
            </w:r>
            <w:proofErr w:type="spellEnd"/>
            <w:r>
              <w:t xml:space="preserve"> dialogue with regulators leads to a higher likelihood of a positive regulatory outcome.  Therefore, EFPIA would welcome the timely initiation of this option.</w:t>
            </w:r>
          </w:p>
          <w:p w14:paraId="5763EF1F" w14:textId="269863CF" w:rsidR="005B7477" w:rsidRDefault="005B7477" w:rsidP="005B7477">
            <w:pPr>
              <w:pStyle w:val="TabletextrowsAgency"/>
              <w:spacing w:line="240" w:lineRule="auto"/>
            </w:pPr>
          </w:p>
        </w:tc>
      </w:tr>
      <w:tr w:rsidR="00154575" w14:paraId="1EF46A40" w14:textId="77777777" w:rsidTr="00154575">
        <w:tc>
          <w:tcPr>
            <w:tcW w:w="661" w:type="pct"/>
            <w:shd w:val="clear" w:color="auto" w:fill="E1E3F2"/>
          </w:tcPr>
          <w:p w14:paraId="1E40FC3F" w14:textId="77777777" w:rsidR="00154575" w:rsidRDefault="00154575">
            <w:pPr>
              <w:pStyle w:val="TabletextrowsAgency"/>
            </w:pPr>
            <w:r>
              <w:t>Page 8</w:t>
            </w:r>
          </w:p>
        </w:tc>
        <w:tc>
          <w:tcPr>
            <w:tcW w:w="4339" w:type="pct"/>
            <w:shd w:val="clear" w:color="auto" w:fill="E1E3F2"/>
          </w:tcPr>
          <w:p w14:paraId="7E7DC431" w14:textId="77777777" w:rsidR="00154575" w:rsidRDefault="00154575" w:rsidP="00204769">
            <w:pPr>
              <w:pStyle w:val="TabletextrowsAgency"/>
              <w:spacing w:line="240" w:lineRule="auto"/>
              <w:jc w:val="both"/>
            </w:pPr>
            <w:r>
              <w:t xml:space="preserve">While the sharing of DCP </w:t>
            </w:r>
            <w:r w:rsidRPr="00C42EA6">
              <w:t>assessment reports with agencies outside Europe</w:t>
            </w:r>
            <w:r>
              <w:t xml:space="preserve"> has already been piloted and is currently being considered for expansion, it is important that the receiving regulatory agencies maintain the assessment reports in strict confidentiality and do not further share them with third parties (</w:t>
            </w:r>
            <w:r w:rsidRPr="00C42EA6">
              <w:rPr>
                <w:i/>
              </w:rPr>
              <w:t>e.g.</w:t>
            </w:r>
            <w:r w:rsidRPr="00C42EA6">
              <w:t>,</w:t>
            </w:r>
            <w:r>
              <w:t xml:space="preserve"> another regulatory agency, non-governmental organisation)</w:t>
            </w:r>
            <w:r w:rsidRPr="00C42EA6">
              <w:t>.</w:t>
            </w:r>
            <w:r>
              <w:t xml:space="preserve">  A confidentiality agreement between the sending and receiving regulatory agencies should </w:t>
            </w:r>
            <w:r w:rsidRPr="005B301A">
              <w:t>be established</w:t>
            </w:r>
            <w:r>
              <w:t xml:space="preserve"> </w:t>
            </w:r>
            <w:r w:rsidRPr="00BC0CE7">
              <w:rPr>
                <w:i/>
              </w:rPr>
              <w:t>a priori</w:t>
            </w:r>
            <w:r>
              <w:t>. Also, there should be a notification to MAH in case of sharing of an assessment report.</w:t>
            </w:r>
          </w:p>
          <w:p w14:paraId="39DC74A0" w14:textId="77777777" w:rsidR="00154575" w:rsidRDefault="00154575" w:rsidP="00204769">
            <w:pPr>
              <w:pStyle w:val="TabletextrowsAgency"/>
              <w:spacing w:line="240" w:lineRule="auto"/>
              <w:jc w:val="both"/>
            </w:pPr>
          </w:p>
          <w:p w14:paraId="276ADF9A" w14:textId="77777777" w:rsidR="00154575" w:rsidRDefault="00154575" w:rsidP="00204769">
            <w:pPr>
              <w:pStyle w:val="TabletextrowsAgency"/>
              <w:spacing w:line="240" w:lineRule="auto"/>
              <w:jc w:val="both"/>
            </w:pPr>
            <w:r>
              <w:t>Finally, there needs to be visibility of the impact of the sharing of assessment reports within EU.  For example, communication of the specific advantages, since it currently seems that there is still a full assessment conducted by the receiving parties even in light of sharing of the assessment reports.</w:t>
            </w:r>
          </w:p>
          <w:p w14:paraId="5972FC75" w14:textId="77777777" w:rsidR="005B7477" w:rsidRDefault="005B7477" w:rsidP="00204769">
            <w:pPr>
              <w:pStyle w:val="TabletextrowsAgency"/>
              <w:spacing w:line="240" w:lineRule="auto"/>
              <w:jc w:val="both"/>
            </w:pPr>
          </w:p>
        </w:tc>
      </w:tr>
      <w:tr w:rsidR="00154575" w14:paraId="4D10450E" w14:textId="77777777" w:rsidTr="00154575">
        <w:tc>
          <w:tcPr>
            <w:tcW w:w="661" w:type="pct"/>
            <w:shd w:val="clear" w:color="auto" w:fill="E1E3F2"/>
          </w:tcPr>
          <w:p w14:paraId="219CD798" w14:textId="77777777" w:rsidR="00154575" w:rsidRDefault="00154575">
            <w:pPr>
              <w:pStyle w:val="TabletextrowsAgency"/>
            </w:pPr>
            <w:r>
              <w:t>Page 8</w:t>
            </w:r>
          </w:p>
        </w:tc>
        <w:tc>
          <w:tcPr>
            <w:tcW w:w="4339" w:type="pct"/>
            <w:shd w:val="clear" w:color="auto" w:fill="E1E3F2"/>
          </w:tcPr>
          <w:p w14:paraId="4A10DE80" w14:textId="77777777" w:rsidR="00154575" w:rsidRDefault="00154575" w:rsidP="00204769">
            <w:pPr>
              <w:pStyle w:val="TabletextrowsAgency"/>
              <w:spacing w:line="240" w:lineRule="auto"/>
              <w:jc w:val="both"/>
            </w:pPr>
            <w:proofErr w:type="spellStart"/>
            <w:r>
              <w:t>CMDh</w:t>
            </w:r>
            <w:proofErr w:type="spellEnd"/>
            <w:r>
              <w:t xml:space="preserve"> has noted its intention to “(</w:t>
            </w:r>
            <w:proofErr w:type="gramStart"/>
            <w:r>
              <w:t>d)</w:t>
            </w:r>
            <w:proofErr w:type="spellStart"/>
            <w:r w:rsidRPr="00BC0CE7">
              <w:t>iscuss</w:t>
            </w:r>
            <w:proofErr w:type="spellEnd"/>
            <w:proofErr w:type="gramEnd"/>
            <w:r w:rsidRPr="00BC0CE7">
              <w:t xml:space="preserve"> the possibility of accepting reference products in (e.g.) bioequivalence studies from outside the EU</w:t>
            </w:r>
            <w:r>
              <w:t>”.  EFPIA considers that this should be approached with an appropriate level of caution and, as such, should first be discussed with interested stakeholders including the innovative industry.</w:t>
            </w:r>
          </w:p>
          <w:p w14:paraId="53BE970F" w14:textId="77777777" w:rsidR="005B7477" w:rsidRDefault="005B7477" w:rsidP="00204769">
            <w:pPr>
              <w:pStyle w:val="TabletextrowsAgency"/>
              <w:spacing w:line="240" w:lineRule="auto"/>
              <w:jc w:val="both"/>
            </w:pPr>
          </w:p>
        </w:tc>
      </w:tr>
      <w:tr w:rsidR="00154575" w14:paraId="42398C6E" w14:textId="77777777" w:rsidTr="00154575">
        <w:tc>
          <w:tcPr>
            <w:tcW w:w="661" w:type="pct"/>
            <w:shd w:val="clear" w:color="auto" w:fill="E1E3F2"/>
          </w:tcPr>
          <w:p w14:paraId="0435FAA3" w14:textId="77777777" w:rsidR="00154575" w:rsidRDefault="00154575">
            <w:pPr>
              <w:pStyle w:val="TabletextrowsAgency"/>
            </w:pPr>
            <w:r>
              <w:t>Page 8</w:t>
            </w:r>
          </w:p>
        </w:tc>
        <w:tc>
          <w:tcPr>
            <w:tcW w:w="4339" w:type="pct"/>
            <w:shd w:val="clear" w:color="auto" w:fill="E1E3F2"/>
          </w:tcPr>
          <w:p w14:paraId="76C0125E" w14:textId="77777777" w:rsidR="00154575" w:rsidRDefault="00154575" w:rsidP="00204769">
            <w:pPr>
              <w:pStyle w:val="TabletextrowsAgency"/>
              <w:spacing w:line="240" w:lineRule="auto"/>
              <w:jc w:val="both"/>
            </w:pPr>
            <w:proofErr w:type="spellStart"/>
            <w:r>
              <w:t>CMDh</w:t>
            </w:r>
            <w:proofErr w:type="spellEnd"/>
            <w:r>
              <w:t xml:space="preserve"> includes its plans to further develop guidance for implementing post-marketing referrals.  EFPIA would welcome additional regulatory guidance in this area as well as the insurance of consistency with EMA/PRAC’s approach to referrals. </w:t>
            </w:r>
          </w:p>
          <w:p w14:paraId="29DB5084" w14:textId="77777777" w:rsidR="005B7477" w:rsidRDefault="005B7477" w:rsidP="00204769">
            <w:pPr>
              <w:pStyle w:val="TabletextrowsAgency"/>
              <w:spacing w:line="240" w:lineRule="auto"/>
              <w:jc w:val="both"/>
            </w:pPr>
          </w:p>
        </w:tc>
      </w:tr>
      <w:tr w:rsidR="00154575" w14:paraId="59133227" w14:textId="77777777" w:rsidTr="00154575">
        <w:tc>
          <w:tcPr>
            <w:tcW w:w="661" w:type="pct"/>
            <w:shd w:val="clear" w:color="auto" w:fill="E1E3F2"/>
          </w:tcPr>
          <w:p w14:paraId="34CD3B04" w14:textId="77777777" w:rsidR="00154575" w:rsidRDefault="00154575">
            <w:pPr>
              <w:pStyle w:val="TabletextrowsAgency"/>
            </w:pPr>
            <w:r>
              <w:t>Page 8</w:t>
            </w:r>
          </w:p>
        </w:tc>
        <w:tc>
          <w:tcPr>
            <w:tcW w:w="4339" w:type="pct"/>
            <w:shd w:val="clear" w:color="auto" w:fill="E1E3F2"/>
          </w:tcPr>
          <w:p w14:paraId="6D7CE061" w14:textId="77777777" w:rsidR="00154575" w:rsidRDefault="00154575" w:rsidP="00204769">
            <w:pPr>
              <w:pStyle w:val="TabletextrowsAgency"/>
              <w:spacing w:line="240" w:lineRule="auto"/>
              <w:jc w:val="both"/>
            </w:pPr>
            <w:r>
              <w:t xml:space="preserve">Mention is made of an initial focus for </w:t>
            </w:r>
            <w:proofErr w:type="gramStart"/>
            <w:r>
              <w:t>work-sharing</w:t>
            </w:r>
            <w:proofErr w:type="gramEnd"/>
            <w:r>
              <w:t xml:space="preserve"> on ‘Risk Management Planning’ for MRP/DCP products; however, it is not clear if this means RMPs or risk management planning in a more general sense.</w:t>
            </w:r>
          </w:p>
          <w:p w14:paraId="6AB8E58B" w14:textId="77777777" w:rsidR="00154575" w:rsidRDefault="00154575" w:rsidP="00204769">
            <w:pPr>
              <w:pStyle w:val="TabletextrowsAgency"/>
              <w:spacing w:line="240" w:lineRule="auto"/>
              <w:jc w:val="both"/>
            </w:pPr>
          </w:p>
          <w:p w14:paraId="0434C040" w14:textId="77777777" w:rsidR="00154575" w:rsidRDefault="00154575" w:rsidP="00204769">
            <w:pPr>
              <w:pStyle w:val="TabletextrowsAgency"/>
              <w:spacing w:line="240" w:lineRule="auto"/>
              <w:jc w:val="both"/>
            </w:pPr>
            <w:r>
              <w:t xml:space="preserve">It would be helpful if the Strategy clarified whether the mention of </w:t>
            </w:r>
            <w:proofErr w:type="gramStart"/>
            <w:r>
              <w:t>work-sharing</w:t>
            </w:r>
            <w:proofErr w:type="gramEnd"/>
            <w:r>
              <w:t xml:space="preserve"> is in reference to RMPs, or risk management planning in a more general sense. It may also be useful to suggest how </w:t>
            </w:r>
            <w:proofErr w:type="gramStart"/>
            <w:r>
              <w:t>work-sharing</w:t>
            </w:r>
            <w:proofErr w:type="gramEnd"/>
            <w:r>
              <w:t xml:space="preserve"> may be of benefit.</w:t>
            </w:r>
          </w:p>
          <w:p w14:paraId="524AEC86" w14:textId="77777777" w:rsidR="005B7477" w:rsidRDefault="005B7477" w:rsidP="00204769">
            <w:pPr>
              <w:pStyle w:val="TabletextrowsAgency"/>
              <w:spacing w:line="240" w:lineRule="auto"/>
              <w:jc w:val="both"/>
            </w:pPr>
          </w:p>
        </w:tc>
      </w:tr>
      <w:tr w:rsidR="00154575" w14:paraId="40C6EC00" w14:textId="77777777" w:rsidTr="00154575">
        <w:tc>
          <w:tcPr>
            <w:tcW w:w="661" w:type="pct"/>
            <w:shd w:val="clear" w:color="auto" w:fill="E1E3F2"/>
          </w:tcPr>
          <w:p w14:paraId="5077EBF7" w14:textId="77777777" w:rsidR="00154575" w:rsidRDefault="00154575">
            <w:pPr>
              <w:pStyle w:val="TabletextrowsAgency"/>
            </w:pPr>
            <w:r>
              <w:lastRenderedPageBreak/>
              <w:t>Page 9</w:t>
            </w:r>
          </w:p>
        </w:tc>
        <w:tc>
          <w:tcPr>
            <w:tcW w:w="4339" w:type="pct"/>
            <w:shd w:val="clear" w:color="auto" w:fill="E1E3F2"/>
          </w:tcPr>
          <w:p w14:paraId="418D860D" w14:textId="77777777" w:rsidR="00154575" w:rsidRDefault="00154575" w:rsidP="00204769">
            <w:pPr>
              <w:pStyle w:val="TabletextrowsAgency"/>
              <w:spacing w:line="240" w:lineRule="auto"/>
              <w:jc w:val="both"/>
            </w:pPr>
            <w:proofErr w:type="spellStart"/>
            <w:r>
              <w:t>CMDh</w:t>
            </w:r>
            <w:proofErr w:type="spellEnd"/>
            <w:r>
              <w:t xml:space="preserve"> mentions that it will “</w:t>
            </w:r>
            <w:r w:rsidRPr="00735CA6">
              <w:t>develop measures to assure the product supply chain for essential EU medicines</w:t>
            </w:r>
            <w:r>
              <w:t xml:space="preserve">”. </w:t>
            </w:r>
            <w:r w:rsidRPr="00735CA6">
              <w:t xml:space="preserve">Further detail would be appreciated on the high level approach and the role of </w:t>
            </w:r>
            <w:proofErr w:type="spellStart"/>
            <w:r w:rsidRPr="00735CA6">
              <w:t>CMDh</w:t>
            </w:r>
            <w:proofErr w:type="spellEnd"/>
            <w:r w:rsidRPr="00735CA6">
              <w:t xml:space="preserve"> in optimizing this process.</w:t>
            </w:r>
          </w:p>
          <w:p w14:paraId="7171DF27" w14:textId="77777777" w:rsidR="005B7477" w:rsidRDefault="005B7477" w:rsidP="00204769">
            <w:pPr>
              <w:pStyle w:val="TabletextrowsAgency"/>
              <w:spacing w:line="240" w:lineRule="auto"/>
              <w:jc w:val="both"/>
            </w:pPr>
          </w:p>
        </w:tc>
      </w:tr>
      <w:tr w:rsidR="00154575" w14:paraId="5D2F3B24" w14:textId="77777777" w:rsidTr="00154575">
        <w:tc>
          <w:tcPr>
            <w:tcW w:w="661" w:type="pct"/>
            <w:shd w:val="clear" w:color="auto" w:fill="E1E3F2"/>
          </w:tcPr>
          <w:p w14:paraId="2A58A5CD" w14:textId="77777777" w:rsidR="00154575" w:rsidRDefault="00154575">
            <w:pPr>
              <w:pStyle w:val="TabletextrowsAgency"/>
            </w:pPr>
            <w:r>
              <w:t>Page 10</w:t>
            </w:r>
          </w:p>
        </w:tc>
        <w:tc>
          <w:tcPr>
            <w:tcW w:w="4339" w:type="pct"/>
            <w:shd w:val="clear" w:color="auto" w:fill="E1E3F2"/>
          </w:tcPr>
          <w:p w14:paraId="3B010865" w14:textId="77777777" w:rsidR="00154575" w:rsidRDefault="00154575" w:rsidP="00204769">
            <w:pPr>
              <w:pStyle w:val="TabletextrowsAgency"/>
              <w:spacing w:line="240" w:lineRule="auto"/>
              <w:jc w:val="both"/>
            </w:pPr>
            <w:r>
              <w:t>Regarding telematics EFPIA proposes to cross</w:t>
            </w:r>
            <w:r w:rsidRPr="00735CA6">
              <w:t>link the telematics topics with the EU telematics strategy 20</w:t>
            </w:r>
            <w:r>
              <w:t xml:space="preserve">15-2017 as published </w:t>
            </w:r>
            <w:r w:rsidRPr="00735CA6">
              <w:t>by EMA and HMA.</w:t>
            </w:r>
          </w:p>
          <w:p w14:paraId="31ABDBFD" w14:textId="77777777" w:rsidR="00154575" w:rsidRDefault="00154575" w:rsidP="00204769">
            <w:pPr>
              <w:pStyle w:val="TabletextrowsAgency"/>
              <w:spacing w:line="240" w:lineRule="auto"/>
              <w:jc w:val="both"/>
            </w:pPr>
          </w:p>
          <w:p w14:paraId="6D5C7BC2" w14:textId="77777777" w:rsidR="00154575" w:rsidRDefault="00154575" w:rsidP="00204769">
            <w:pPr>
              <w:pStyle w:val="TabletextrowsAgency"/>
              <w:spacing w:line="240" w:lineRule="auto"/>
              <w:jc w:val="both"/>
            </w:pPr>
            <w:r w:rsidRPr="00735CA6">
              <w:t xml:space="preserve">The </w:t>
            </w:r>
            <w:proofErr w:type="spellStart"/>
            <w:r w:rsidRPr="00735CA6">
              <w:t>CMDh</w:t>
            </w:r>
            <w:proofErr w:type="spellEnd"/>
            <w:r w:rsidRPr="00735CA6">
              <w:t xml:space="preserve"> should also continue the work on simplifying and unifying IT solutions for stakeholders by further EU harmonisati</w:t>
            </w:r>
            <w:r>
              <w:t>on and a decrease in different N</w:t>
            </w:r>
            <w:r w:rsidRPr="00735CA6">
              <w:t>ational requirements. The strategy should include collaboration to reach an acceptance by all NCAs of fully electronic submissions without the need for any handling of paper (</w:t>
            </w:r>
            <w:r w:rsidRPr="000336D7">
              <w:rPr>
                <w:i/>
              </w:rPr>
              <w:t>e.g.,</w:t>
            </w:r>
            <w:r w:rsidRPr="00735CA6">
              <w:t xml:space="preserve"> compliance and update of the </w:t>
            </w:r>
            <w:proofErr w:type="spellStart"/>
            <w:r w:rsidRPr="00735CA6">
              <w:t>eSubmission</w:t>
            </w:r>
            <w:proofErr w:type="spellEnd"/>
            <w:r w:rsidRPr="00735CA6">
              <w:t xml:space="preserve"> Roadmap 1.0 141107).</w:t>
            </w:r>
          </w:p>
          <w:p w14:paraId="292355D3" w14:textId="77777777" w:rsidR="005B7477" w:rsidRDefault="005B7477" w:rsidP="00204769">
            <w:pPr>
              <w:pStyle w:val="TabletextrowsAgency"/>
              <w:spacing w:line="240" w:lineRule="auto"/>
              <w:jc w:val="both"/>
            </w:pPr>
          </w:p>
        </w:tc>
      </w:tr>
      <w:tr w:rsidR="00154575" w14:paraId="36804FB3" w14:textId="77777777" w:rsidTr="00154575">
        <w:tc>
          <w:tcPr>
            <w:tcW w:w="661" w:type="pct"/>
            <w:shd w:val="clear" w:color="auto" w:fill="E1E3F2"/>
          </w:tcPr>
          <w:p w14:paraId="77FCB1A9" w14:textId="77777777" w:rsidR="00154575" w:rsidRDefault="00154575">
            <w:pPr>
              <w:pStyle w:val="TabletextrowsAgency"/>
            </w:pPr>
            <w:r>
              <w:t>Page 11</w:t>
            </w:r>
          </w:p>
        </w:tc>
        <w:tc>
          <w:tcPr>
            <w:tcW w:w="4339" w:type="pct"/>
            <w:shd w:val="clear" w:color="auto" w:fill="E1E3F2"/>
          </w:tcPr>
          <w:p w14:paraId="7AB547EA" w14:textId="77777777" w:rsidR="00154575" w:rsidRDefault="00154575" w:rsidP="00204769">
            <w:pPr>
              <w:pStyle w:val="TabletextrowsAgency"/>
              <w:spacing w:line="240" w:lineRule="auto"/>
              <w:jc w:val="both"/>
            </w:pPr>
            <w:r>
              <w:t>Again, here we propose cross</w:t>
            </w:r>
            <w:r w:rsidRPr="000336D7">
              <w:t>link</w:t>
            </w:r>
            <w:r>
              <w:t>ing of</w:t>
            </w:r>
            <w:r w:rsidRPr="000336D7">
              <w:t xml:space="preserve"> the telematics topics with the EU telematics strategy </w:t>
            </w:r>
            <w:r>
              <w:t xml:space="preserve">2015-2017 as published </w:t>
            </w:r>
            <w:r w:rsidRPr="000336D7">
              <w:t>by EMA and HMA.</w:t>
            </w:r>
          </w:p>
          <w:p w14:paraId="1794E355" w14:textId="77777777" w:rsidR="00154575" w:rsidRDefault="00154575" w:rsidP="00204769">
            <w:pPr>
              <w:pStyle w:val="TabletextrowsAgency"/>
              <w:spacing w:line="240" w:lineRule="auto"/>
              <w:jc w:val="both"/>
            </w:pPr>
          </w:p>
          <w:p w14:paraId="1004B5EB" w14:textId="77777777" w:rsidR="00154575" w:rsidRDefault="00154575" w:rsidP="00204769">
            <w:pPr>
              <w:pStyle w:val="TabletextrowsAgency"/>
              <w:spacing w:line="240" w:lineRule="auto"/>
              <w:jc w:val="both"/>
            </w:pPr>
            <w:r w:rsidRPr="000336D7">
              <w:t xml:space="preserve">The </w:t>
            </w:r>
            <w:proofErr w:type="spellStart"/>
            <w:r w:rsidRPr="000336D7">
              <w:t>CMDh</w:t>
            </w:r>
            <w:proofErr w:type="spellEnd"/>
            <w:r w:rsidRPr="000336D7">
              <w:t xml:space="preserve"> should promote the telematics work on common standards (e.g. potential use of ISO-IDMP standards across the EU Network) and guidance documents (e.g. SPOR project) to ensure well-structured dossiers that facilitate the scientific assessment. The </w:t>
            </w:r>
            <w:proofErr w:type="spellStart"/>
            <w:r w:rsidRPr="000336D7">
              <w:t>CMDh</w:t>
            </w:r>
            <w:proofErr w:type="spellEnd"/>
            <w:r w:rsidRPr="000336D7">
              <w:t xml:space="preserve"> should be involved in evaluating any new standards and guidance documents that affect the scientific work before they are adopted.</w:t>
            </w:r>
          </w:p>
          <w:p w14:paraId="45E1E927" w14:textId="77777777" w:rsidR="005B7477" w:rsidRDefault="005B7477" w:rsidP="00204769">
            <w:pPr>
              <w:pStyle w:val="TabletextrowsAgency"/>
              <w:spacing w:line="240" w:lineRule="auto"/>
              <w:jc w:val="both"/>
            </w:pPr>
          </w:p>
        </w:tc>
      </w:tr>
    </w:tbl>
    <w:p w14:paraId="737E5D3E" w14:textId="77777777" w:rsidR="005D6621" w:rsidRDefault="005D6621">
      <w:pPr>
        <w:pStyle w:val="TableFigurenoteAgency"/>
      </w:pPr>
    </w:p>
    <w:sectPr w:rsidR="005D6621">
      <w:pgSz w:w="16838" w:h="11906" w:orient="landscape" w:code="9"/>
      <w:pgMar w:top="1418" w:right="1134" w:bottom="1418" w:left="1134" w:header="737" w:footer="737"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F6E802" w14:textId="77777777" w:rsidR="001A6669" w:rsidRDefault="001A6669">
      <w:r>
        <w:separator/>
      </w:r>
    </w:p>
  </w:endnote>
  <w:endnote w:type="continuationSeparator" w:id="0">
    <w:p w14:paraId="55252B37" w14:textId="77777777" w:rsidR="001A6669" w:rsidRDefault="001A6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SimSun">
    <w:altName w:val="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1E0" w:firstRow="1" w:lastRow="1" w:firstColumn="1" w:lastColumn="1" w:noHBand="0" w:noVBand="0"/>
    </w:tblPr>
    <w:tblGrid>
      <w:gridCol w:w="6196"/>
      <w:gridCol w:w="3217"/>
    </w:tblGrid>
    <w:tr w:rsidR="005D6621" w14:paraId="0AA0117A" w14:textId="77777777">
      <w:tc>
        <w:tcPr>
          <w:tcW w:w="5000" w:type="pct"/>
          <w:gridSpan w:val="2"/>
          <w:tcBorders>
            <w:top w:val="single" w:sz="2" w:space="0" w:color="auto"/>
            <w:left w:val="nil"/>
            <w:bottom w:val="nil"/>
            <w:right w:val="nil"/>
          </w:tcBorders>
          <w:tcMar>
            <w:left w:w="0" w:type="dxa"/>
            <w:right w:w="0" w:type="dxa"/>
          </w:tcMar>
        </w:tcPr>
        <w:p w14:paraId="72CBAC5B" w14:textId="77777777" w:rsidR="005D6621" w:rsidRDefault="005D6621">
          <w:pPr>
            <w:pStyle w:val="FooterAgency"/>
          </w:pPr>
        </w:p>
      </w:tc>
    </w:tr>
    <w:tr w:rsidR="005D6621" w14:paraId="1B5FF47E" w14:textId="77777777">
      <w:trPr>
        <w:trHeight w:val="355"/>
      </w:trPr>
      <w:tc>
        <w:tcPr>
          <w:tcW w:w="3291" w:type="pct"/>
          <w:tcMar>
            <w:left w:w="0" w:type="dxa"/>
            <w:right w:w="0" w:type="dxa"/>
          </w:tcMar>
        </w:tcPr>
        <w:p w14:paraId="39CB36E2" w14:textId="77777777" w:rsidR="005D6621" w:rsidRDefault="005D6621">
          <w:pPr>
            <w:pStyle w:val="FooterAgency"/>
          </w:pPr>
        </w:p>
      </w:tc>
      <w:tc>
        <w:tcPr>
          <w:tcW w:w="1709" w:type="pct"/>
          <w:tcMar>
            <w:left w:w="0" w:type="dxa"/>
            <w:right w:w="0" w:type="dxa"/>
          </w:tcMar>
        </w:tcPr>
        <w:p w14:paraId="44055378" w14:textId="77777777" w:rsidR="005D6621" w:rsidRDefault="005D6621">
          <w:pPr>
            <w:pStyle w:val="FooterAgency"/>
          </w:pPr>
        </w:p>
      </w:tc>
    </w:tr>
    <w:tr w:rsidR="005D6621" w14:paraId="4227AC46" w14:textId="77777777">
      <w:tc>
        <w:tcPr>
          <w:tcW w:w="3291" w:type="pct"/>
          <w:tcMar>
            <w:left w:w="0" w:type="dxa"/>
            <w:right w:w="0" w:type="dxa"/>
          </w:tcMar>
        </w:tcPr>
        <w:p w14:paraId="4B334DB4" w14:textId="77777777" w:rsidR="005D6621" w:rsidRDefault="005D6621">
          <w:pPr>
            <w:pStyle w:val="FooterAgency"/>
          </w:pPr>
        </w:p>
      </w:tc>
      <w:tc>
        <w:tcPr>
          <w:tcW w:w="1709" w:type="pct"/>
          <w:tcMar>
            <w:left w:w="0" w:type="dxa"/>
            <w:right w:w="0" w:type="dxa"/>
          </w:tcMar>
        </w:tcPr>
        <w:p w14:paraId="0A38DA9F" w14:textId="77777777" w:rsidR="005D6621" w:rsidRDefault="005B7477">
          <w:pPr>
            <w:pStyle w:val="PagenumberAgency"/>
            <w:ind w:right="210"/>
          </w:pPr>
          <w:r>
            <w:fldChar w:fldCharType="begin"/>
          </w:r>
          <w:r>
            <w:instrText xml:space="preserve"> PAGE </w:instrText>
          </w:r>
          <w:r>
            <w:fldChar w:fldCharType="separate"/>
          </w:r>
          <w:r w:rsidR="00504322">
            <w:rPr>
              <w:noProof/>
            </w:rPr>
            <w:t>2</w:t>
          </w:r>
          <w:r>
            <w:rPr>
              <w:noProof/>
            </w:rPr>
            <w:fldChar w:fldCharType="end"/>
          </w:r>
          <w:r w:rsidR="005D6621">
            <w:t>/</w:t>
          </w:r>
          <w:r>
            <w:fldChar w:fldCharType="begin"/>
          </w:r>
          <w:r>
            <w:instrText xml:space="preserve"> NUMPAGES </w:instrText>
          </w:r>
          <w:r>
            <w:fldChar w:fldCharType="separate"/>
          </w:r>
          <w:r w:rsidR="00504322">
            <w:rPr>
              <w:noProof/>
            </w:rPr>
            <w:t>8</w:t>
          </w:r>
          <w:r>
            <w:rPr>
              <w:noProof/>
            </w:rPr>
            <w:fldChar w:fldCharType="end"/>
          </w:r>
        </w:p>
      </w:tc>
    </w:tr>
  </w:tbl>
  <w:p w14:paraId="0708E136" w14:textId="77777777" w:rsidR="005D6621" w:rsidRDefault="005D6621">
    <w:pPr>
      <w:pStyle w:val="FooterAgency"/>
      <w:rPr>
        <w:rStyle w:val="PageNumber"/>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CBFDD9" w14:textId="77777777" w:rsidR="001A6669" w:rsidRDefault="001A6669">
      <w:r>
        <w:separator/>
      </w:r>
    </w:p>
  </w:footnote>
  <w:footnote w:type="continuationSeparator" w:id="0">
    <w:p w14:paraId="4B1873B6" w14:textId="77777777" w:rsidR="001A6669" w:rsidRDefault="001A6669">
      <w:r>
        <w:continuationSeparator/>
      </w:r>
    </w:p>
  </w:footnote>
  <w:footnote w:id="1">
    <w:p w14:paraId="022A1E3F" w14:textId="77777777" w:rsidR="00162644" w:rsidRPr="00162644" w:rsidRDefault="00162644">
      <w:pPr>
        <w:pStyle w:val="FootnoteText"/>
        <w:rPr>
          <w:lang w:val="en-US"/>
        </w:rPr>
      </w:pPr>
      <w:r>
        <w:rPr>
          <w:rStyle w:val="FootnoteReference"/>
        </w:rPr>
        <w:footnoteRef/>
      </w:r>
      <w:r>
        <w:t xml:space="preserve"> </w:t>
      </w:r>
      <w:proofErr w:type="spellStart"/>
      <w:r w:rsidRPr="00162644">
        <w:t>CMDh</w:t>
      </w:r>
      <w:proofErr w:type="spellEnd"/>
      <w:r w:rsidRPr="00162644">
        <w:t xml:space="preserve"> Strategy to 2020 (</w:t>
      </w:r>
      <w:proofErr w:type="spellStart"/>
      <w:r w:rsidRPr="00162644">
        <w:t>CMDh</w:t>
      </w:r>
      <w:proofErr w:type="spellEnd"/>
      <w:r w:rsidRPr="00162644">
        <w:t>/335/2015, Draft)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604EB6" w14:textId="77777777" w:rsidR="005D6621" w:rsidRDefault="005D6621">
    <w:pPr>
      <w:pStyle w:val="FooterAgency"/>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2FC26B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42E5E9A"/>
    <w:lvl w:ilvl="0">
      <w:start w:val="1"/>
      <w:numFmt w:val="decimal"/>
      <w:lvlText w:val="%1."/>
      <w:lvlJc w:val="left"/>
      <w:pPr>
        <w:tabs>
          <w:tab w:val="num" w:pos="1492"/>
        </w:tabs>
        <w:ind w:left="1492" w:hanging="360"/>
      </w:pPr>
    </w:lvl>
  </w:abstractNum>
  <w:abstractNum w:abstractNumId="2">
    <w:nsid w:val="FFFFFF7D"/>
    <w:multiLevelType w:val="singleLevel"/>
    <w:tmpl w:val="80B050BA"/>
    <w:lvl w:ilvl="0">
      <w:start w:val="1"/>
      <w:numFmt w:val="decimal"/>
      <w:lvlText w:val="%1."/>
      <w:lvlJc w:val="left"/>
      <w:pPr>
        <w:tabs>
          <w:tab w:val="num" w:pos="1209"/>
        </w:tabs>
        <w:ind w:left="1209" w:hanging="360"/>
      </w:pPr>
    </w:lvl>
  </w:abstractNum>
  <w:abstractNum w:abstractNumId="3">
    <w:nsid w:val="FFFFFF7E"/>
    <w:multiLevelType w:val="singleLevel"/>
    <w:tmpl w:val="C49645A6"/>
    <w:lvl w:ilvl="0">
      <w:start w:val="1"/>
      <w:numFmt w:val="decimal"/>
      <w:lvlText w:val="%1."/>
      <w:lvlJc w:val="left"/>
      <w:pPr>
        <w:tabs>
          <w:tab w:val="num" w:pos="926"/>
        </w:tabs>
        <w:ind w:left="926" w:hanging="360"/>
      </w:pPr>
    </w:lvl>
  </w:abstractNum>
  <w:abstractNum w:abstractNumId="4">
    <w:nsid w:val="FFFFFF7F"/>
    <w:multiLevelType w:val="singleLevel"/>
    <w:tmpl w:val="C434B898"/>
    <w:lvl w:ilvl="0">
      <w:start w:val="1"/>
      <w:numFmt w:val="decimal"/>
      <w:lvlText w:val="%1."/>
      <w:lvlJc w:val="left"/>
      <w:pPr>
        <w:tabs>
          <w:tab w:val="num" w:pos="643"/>
        </w:tabs>
        <w:ind w:left="643" w:hanging="360"/>
      </w:pPr>
    </w:lvl>
  </w:abstractNum>
  <w:abstractNum w:abstractNumId="5">
    <w:nsid w:val="FFFFFF80"/>
    <w:multiLevelType w:val="singleLevel"/>
    <w:tmpl w:val="473E9BE6"/>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7AE4EF50"/>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B169842"/>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8E26BB0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4C9A0988"/>
    <w:lvl w:ilvl="0">
      <w:start w:val="1"/>
      <w:numFmt w:val="decimal"/>
      <w:lvlText w:val="%1."/>
      <w:lvlJc w:val="left"/>
      <w:pPr>
        <w:tabs>
          <w:tab w:val="num" w:pos="360"/>
        </w:tabs>
        <w:ind w:left="360" w:hanging="360"/>
      </w:pPr>
    </w:lvl>
  </w:abstractNum>
  <w:abstractNum w:abstractNumId="10">
    <w:nsid w:val="FFFFFF89"/>
    <w:multiLevelType w:val="singleLevel"/>
    <w:tmpl w:val="9538275E"/>
    <w:lvl w:ilvl="0">
      <w:start w:val="1"/>
      <w:numFmt w:val="bullet"/>
      <w:lvlText w:val=""/>
      <w:lvlJc w:val="left"/>
      <w:pPr>
        <w:tabs>
          <w:tab w:val="num" w:pos="360"/>
        </w:tabs>
        <w:ind w:left="360" w:hanging="360"/>
      </w:pPr>
      <w:rPr>
        <w:rFonts w:ascii="Symbol" w:hAnsi="Symbol" w:hint="default"/>
      </w:rPr>
    </w:lvl>
  </w:abstractNum>
  <w:abstractNum w:abstractNumId="11">
    <w:nsid w:val="085F4D74"/>
    <w:multiLevelType w:val="multilevel"/>
    <w:tmpl w:val="A02E932A"/>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12">
    <w:nsid w:val="0A127BC8"/>
    <w:multiLevelType w:val="multilevel"/>
    <w:tmpl w:val="A66AC686"/>
    <w:lvl w:ilvl="0">
      <w:start w:val="1"/>
      <w:numFmt w:val="decimal"/>
      <w:pStyle w:val="TableheadingAgency"/>
      <w:suff w:val="space"/>
      <w:lvlText w:val="Table %1. "/>
      <w:lvlJc w:val="left"/>
      <w:pPr>
        <w:ind w:left="0" w:firstLine="0"/>
      </w:pPr>
      <w:rPr>
        <w:rFonts w:ascii="Verdana" w:hAnsi="Verdana" w:hint="default"/>
        <w:b/>
        <w:i w:val="0"/>
        <w:sz w:val="18"/>
        <w:szCs w:val="18"/>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1C9A004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1D9C17D7"/>
    <w:multiLevelType w:val="hybridMultilevel"/>
    <w:tmpl w:val="FE64DA74"/>
    <w:lvl w:ilvl="0" w:tplc="66A67E90">
      <w:numFmt w:val="bullet"/>
      <w:lvlText w:val="-"/>
      <w:lvlJc w:val="left"/>
      <w:pPr>
        <w:ind w:left="720" w:hanging="360"/>
      </w:pPr>
      <w:rPr>
        <w:rFonts w:ascii="Verdana" w:eastAsia="SimSun"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1E64282B"/>
    <w:multiLevelType w:val="multilevel"/>
    <w:tmpl w:val="7614763A"/>
    <w:lvl w:ilvl="0">
      <w:start w:val="1"/>
      <w:numFmt w:val="decimal"/>
      <w:lvlText w:val="%1."/>
      <w:lvlJc w:val="left"/>
      <w:pPr>
        <w:tabs>
          <w:tab w:val="num" w:pos="360"/>
        </w:tabs>
        <w:ind w:left="360" w:hanging="360"/>
      </w:pPr>
      <w:rPr>
        <w:rFonts w:ascii="Verdana" w:hAnsi="Verdana" w:hint="default"/>
        <w:b w:val="0"/>
        <w:i w:val="0"/>
        <w:caps w:val="0"/>
        <w:strike w:val="0"/>
        <w:dstrike w:val="0"/>
        <w:vanish w:val="0"/>
        <w:color w:val="auto"/>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64"/>
        </w:tabs>
        <w:ind w:left="964" w:hanging="604"/>
      </w:pPr>
      <w:rPr>
        <w:rFonts w:ascii="Verdana" w:hAnsi="Verdana" w:hint="default"/>
        <w:b w:val="0"/>
        <w:i w:val="0"/>
        <w:caps w:val="0"/>
        <w:strike w:val="0"/>
        <w:dstrike w:val="0"/>
        <w:vanish w:val="0"/>
        <w:color w:val="auto"/>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pPr>
        <w:tabs>
          <w:tab w:val="num" w:pos="964"/>
        </w:tabs>
        <w:ind w:left="964" w:hanging="607"/>
      </w:pPr>
      <w:rPr>
        <w:rFonts w:hint="default"/>
      </w:rPr>
    </w:lvl>
    <w:lvl w:ilvl="3">
      <w:start w:val="1"/>
      <w:numFmt w:val="none"/>
      <w:lvlText w:val=""/>
      <w:lvlJc w:val="left"/>
      <w:pPr>
        <w:tabs>
          <w:tab w:val="num" w:pos="964"/>
        </w:tabs>
        <w:ind w:left="964" w:hanging="607"/>
      </w:pPr>
      <w:rPr>
        <w:rFonts w:hint="default"/>
      </w:rPr>
    </w:lvl>
    <w:lvl w:ilvl="4">
      <w:start w:val="1"/>
      <w:numFmt w:val="none"/>
      <w:lvlText w:val=""/>
      <w:lvlJc w:val="left"/>
      <w:pPr>
        <w:tabs>
          <w:tab w:val="num" w:pos="964"/>
        </w:tabs>
        <w:ind w:left="964" w:hanging="607"/>
      </w:pPr>
      <w:rPr>
        <w:rFonts w:hint="default"/>
      </w:rPr>
    </w:lvl>
    <w:lvl w:ilvl="5">
      <w:start w:val="1"/>
      <w:numFmt w:val="none"/>
      <w:lvlText w:val=""/>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Text w:val=""/>
      <w:lvlJc w:val="left"/>
      <w:pPr>
        <w:tabs>
          <w:tab w:val="num" w:pos="964"/>
        </w:tabs>
        <w:ind w:left="964" w:hanging="607"/>
      </w:pPr>
      <w:rPr>
        <w:rFonts w:hint="default"/>
      </w:rPr>
    </w:lvl>
    <w:lvl w:ilvl="8">
      <w:start w:val="1"/>
      <w:numFmt w:val="none"/>
      <w:lvlText w:val=""/>
      <w:lvlJc w:val="left"/>
      <w:pPr>
        <w:tabs>
          <w:tab w:val="num" w:pos="964"/>
        </w:tabs>
        <w:ind w:left="964" w:hanging="607"/>
      </w:pPr>
      <w:rPr>
        <w:rFonts w:hint="default"/>
      </w:rPr>
    </w:lvl>
  </w:abstractNum>
  <w:abstractNum w:abstractNumId="17">
    <w:nsid w:val="3F3471BB"/>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nsid w:val="504E0C45"/>
    <w:multiLevelType w:val="hybridMultilevel"/>
    <w:tmpl w:val="9392EF2E"/>
    <w:lvl w:ilvl="0" w:tplc="48B6FEFC">
      <w:numFmt w:val="bullet"/>
      <w:lvlText w:val="-"/>
      <w:lvlJc w:val="left"/>
      <w:pPr>
        <w:ind w:left="1080" w:hanging="360"/>
      </w:pPr>
      <w:rPr>
        <w:rFonts w:ascii="Verdana" w:eastAsia="Times New Roman" w:hAnsi="Verdana" w:cs="Verdan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20">
    <w:nsid w:val="6659305A"/>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11"/>
  </w:num>
  <w:num w:numId="2">
    <w:abstractNumId w:val="13"/>
  </w:num>
  <w:num w:numId="3">
    <w:abstractNumId w:val="19"/>
  </w:num>
  <w:num w:numId="4">
    <w:abstractNumId w:val="19"/>
  </w:num>
  <w:num w:numId="5">
    <w:abstractNumId w:val="19"/>
  </w:num>
  <w:num w:numId="6">
    <w:abstractNumId w:val="19"/>
  </w:num>
  <w:num w:numId="7">
    <w:abstractNumId w:val="19"/>
  </w:num>
  <w:num w:numId="8">
    <w:abstractNumId w:val="19"/>
  </w:num>
  <w:num w:numId="9">
    <w:abstractNumId w:val="19"/>
  </w:num>
  <w:num w:numId="10">
    <w:abstractNumId w:val="19"/>
  </w:num>
  <w:num w:numId="11">
    <w:abstractNumId w:val="19"/>
  </w:num>
  <w:num w:numId="12">
    <w:abstractNumId w:val="16"/>
  </w:num>
  <w:num w:numId="13">
    <w:abstractNumId w:val="12"/>
  </w:num>
  <w:num w:numId="14">
    <w:abstractNumId w:val="20"/>
  </w:num>
  <w:num w:numId="15">
    <w:abstractNumId w:val="14"/>
  </w:num>
  <w:num w:numId="16">
    <w:abstractNumId w:val="17"/>
  </w:num>
  <w:num w:numId="17">
    <w:abstractNumId w:val="10"/>
  </w:num>
  <w:num w:numId="18">
    <w:abstractNumId w:val="8"/>
  </w:num>
  <w:num w:numId="19">
    <w:abstractNumId w:val="7"/>
  </w:num>
  <w:num w:numId="20">
    <w:abstractNumId w:val="6"/>
  </w:num>
  <w:num w:numId="21">
    <w:abstractNumId w:val="5"/>
  </w:num>
  <w:num w:numId="22">
    <w:abstractNumId w:val="9"/>
  </w:num>
  <w:num w:numId="23">
    <w:abstractNumId w:val="4"/>
  </w:num>
  <w:num w:numId="24">
    <w:abstractNumId w:val="3"/>
  </w:num>
  <w:num w:numId="25">
    <w:abstractNumId w:val="2"/>
  </w:num>
  <w:num w:numId="26">
    <w:abstractNumId w:val="1"/>
  </w:num>
  <w:num w:numId="27">
    <w:abstractNumId w:val="11"/>
  </w:num>
  <w:num w:numId="28">
    <w:abstractNumId w:val="13"/>
  </w:num>
  <w:num w:numId="29">
    <w:abstractNumId w:val="19"/>
  </w:num>
  <w:num w:numId="30">
    <w:abstractNumId w:val="19"/>
  </w:num>
  <w:num w:numId="31">
    <w:abstractNumId w:val="19"/>
  </w:num>
  <w:num w:numId="32">
    <w:abstractNumId w:val="19"/>
  </w:num>
  <w:num w:numId="33">
    <w:abstractNumId w:val="19"/>
  </w:num>
  <w:num w:numId="34">
    <w:abstractNumId w:val="19"/>
  </w:num>
  <w:num w:numId="35">
    <w:abstractNumId w:val="19"/>
  </w:num>
  <w:num w:numId="36">
    <w:abstractNumId w:val="19"/>
  </w:num>
  <w:num w:numId="37">
    <w:abstractNumId w:val="19"/>
  </w:num>
  <w:num w:numId="38">
    <w:abstractNumId w:val="16"/>
  </w:num>
  <w:num w:numId="39">
    <w:abstractNumId w:val="12"/>
  </w:num>
  <w:num w:numId="40">
    <w:abstractNumId w:val="0"/>
  </w:num>
  <w:num w:numId="41">
    <w:abstractNumId w:val="15"/>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ocumentProtection w:edit="readOnly" w:enforcement="1"/>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FB3"/>
    <w:rsid w:val="0001158F"/>
    <w:rsid w:val="000336D7"/>
    <w:rsid w:val="0003379E"/>
    <w:rsid w:val="0003452C"/>
    <w:rsid w:val="0005184F"/>
    <w:rsid w:val="000560D9"/>
    <w:rsid w:val="00063A68"/>
    <w:rsid w:val="00096D3B"/>
    <w:rsid w:val="000B1A52"/>
    <w:rsid w:val="000D51A0"/>
    <w:rsid w:val="00105379"/>
    <w:rsid w:val="0011338D"/>
    <w:rsid w:val="00154575"/>
    <w:rsid w:val="00162644"/>
    <w:rsid w:val="00165C64"/>
    <w:rsid w:val="00181F49"/>
    <w:rsid w:val="0019742F"/>
    <w:rsid w:val="001A6669"/>
    <w:rsid w:val="001C2C42"/>
    <w:rsid w:val="001E6C7E"/>
    <w:rsid w:val="001F3855"/>
    <w:rsid w:val="001F38C3"/>
    <w:rsid w:val="001F4B2F"/>
    <w:rsid w:val="002027F4"/>
    <w:rsid w:val="00204769"/>
    <w:rsid w:val="00210F7A"/>
    <w:rsid w:val="00212AB1"/>
    <w:rsid w:val="00256719"/>
    <w:rsid w:val="00270FB6"/>
    <w:rsid w:val="00297A4B"/>
    <w:rsid w:val="00304E6B"/>
    <w:rsid w:val="003331BF"/>
    <w:rsid w:val="00353F6C"/>
    <w:rsid w:val="003D6CD4"/>
    <w:rsid w:val="0043130F"/>
    <w:rsid w:val="0045621C"/>
    <w:rsid w:val="00493566"/>
    <w:rsid w:val="004935E1"/>
    <w:rsid w:val="004A383E"/>
    <w:rsid w:val="004C7993"/>
    <w:rsid w:val="004E7520"/>
    <w:rsid w:val="004F5C15"/>
    <w:rsid w:val="004F7E2C"/>
    <w:rsid w:val="00504322"/>
    <w:rsid w:val="00507420"/>
    <w:rsid w:val="00511CFC"/>
    <w:rsid w:val="00557A55"/>
    <w:rsid w:val="00566ECD"/>
    <w:rsid w:val="00581683"/>
    <w:rsid w:val="005A21FE"/>
    <w:rsid w:val="005B301A"/>
    <w:rsid w:val="005B7477"/>
    <w:rsid w:val="005B7C8E"/>
    <w:rsid w:val="005D6621"/>
    <w:rsid w:val="00630FF0"/>
    <w:rsid w:val="006426B7"/>
    <w:rsid w:val="00642B5C"/>
    <w:rsid w:val="006434D8"/>
    <w:rsid w:val="00672D60"/>
    <w:rsid w:val="00675C29"/>
    <w:rsid w:val="006D4680"/>
    <w:rsid w:val="006F357D"/>
    <w:rsid w:val="00716DA6"/>
    <w:rsid w:val="00731841"/>
    <w:rsid w:val="00735CA6"/>
    <w:rsid w:val="00752493"/>
    <w:rsid w:val="0078658C"/>
    <w:rsid w:val="007A086A"/>
    <w:rsid w:val="007B1656"/>
    <w:rsid w:val="007B2C84"/>
    <w:rsid w:val="007C0578"/>
    <w:rsid w:val="008164C6"/>
    <w:rsid w:val="00845277"/>
    <w:rsid w:val="008506EB"/>
    <w:rsid w:val="00852546"/>
    <w:rsid w:val="00853578"/>
    <w:rsid w:val="008A08DF"/>
    <w:rsid w:val="008D487F"/>
    <w:rsid w:val="008E1B5F"/>
    <w:rsid w:val="008F01A4"/>
    <w:rsid w:val="008F0457"/>
    <w:rsid w:val="008F12EA"/>
    <w:rsid w:val="008F3811"/>
    <w:rsid w:val="008F5B01"/>
    <w:rsid w:val="00913FB3"/>
    <w:rsid w:val="00914280"/>
    <w:rsid w:val="009455F0"/>
    <w:rsid w:val="00946BF2"/>
    <w:rsid w:val="009B40F8"/>
    <w:rsid w:val="009F16DD"/>
    <w:rsid w:val="00A0034F"/>
    <w:rsid w:val="00A145C1"/>
    <w:rsid w:val="00A20706"/>
    <w:rsid w:val="00A25180"/>
    <w:rsid w:val="00AA26D3"/>
    <w:rsid w:val="00B14180"/>
    <w:rsid w:val="00B174A5"/>
    <w:rsid w:val="00B24FE9"/>
    <w:rsid w:val="00B44867"/>
    <w:rsid w:val="00B56F10"/>
    <w:rsid w:val="00BA3516"/>
    <w:rsid w:val="00BC0CE7"/>
    <w:rsid w:val="00BD3670"/>
    <w:rsid w:val="00BD434B"/>
    <w:rsid w:val="00BF2B49"/>
    <w:rsid w:val="00C15B24"/>
    <w:rsid w:val="00C32EF9"/>
    <w:rsid w:val="00C42EA6"/>
    <w:rsid w:val="00CB66CC"/>
    <w:rsid w:val="00CC1193"/>
    <w:rsid w:val="00CD21C0"/>
    <w:rsid w:val="00CE1C4B"/>
    <w:rsid w:val="00CE56D9"/>
    <w:rsid w:val="00CE7221"/>
    <w:rsid w:val="00D21973"/>
    <w:rsid w:val="00D30201"/>
    <w:rsid w:val="00D60D63"/>
    <w:rsid w:val="00D9638E"/>
    <w:rsid w:val="00DD23E9"/>
    <w:rsid w:val="00DD31E1"/>
    <w:rsid w:val="00DE5A34"/>
    <w:rsid w:val="00DE752B"/>
    <w:rsid w:val="00EB6901"/>
    <w:rsid w:val="00ED76B6"/>
    <w:rsid w:val="00F37006"/>
    <w:rsid w:val="00F603B6"/>
    <w:rsid w:val="00FB57FF"/>
    <w:rsid w:val="00FC4B24"/>
    <w:rsid w:val="00FC728B"/>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D5D0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fr-BE" w:eastAsia="fr-B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hAnsi="Verdana" w:cs="Verdana"/>
      <w:sz w:val="18"/>
      <w:szCs w:val="18"/>
      <w:lang w:val="en-GB" w:eastAsia="zh-CN"/>
    </w:rPr>
  </w:style>
  <w:style w:type="paragraph" w:styleId="Heading1">
    <w:name w:val="heading 1"/>
    <w:basedOn w:val="No-numheading1Agency"/>
    <w:next w:val="BodytextAgency"/>
    <w:qFormat/>
    <w:rPr>
      <w:noProof/>
    </w:rPr>
  </w:style>
  <w:style w:type="paragraph" w:styleId="Heading2">
    <w:name w:val="heading 2"/>
    <w:basedOn w:val="No-numheading2Agency"/>
    <w:next w:val="BodytextAgency"/>
    <w:qFormat/>
  </w:style>
  <w:style w:type="paragraph" w:styleId="Heading3">
    <w:name w:val="heading 3"/>
    <w:basedOn w:val="No-numheading3Agency"/>
    <w:next w:val="BodytextAgency"/>
    <w:qFormat/>
  </w:style>
  <w:style w:type="paragraph" w:styleId="Heading4">
    <w:name w:val="heading 4"/>
    <w:basedOn w:val="No-numheading4Agency"/>
    <w:next w:val="BodytextAgency"/>
    <w:qFormat/>
  </w:style>
  <w:style w:type="paragraph" w:styleId="Heading5">
    <w:name w:val="heading 5"/>
    <w:basedOn w:val="Normal"/>
    <w:next w:val="Normal"/>
    <w:qFormat/>
    <w:pPr>
      <w:keepNext/>
      <w:spacing w:before="280" w:after="220"/>
      <w:outlineLvl w:val="4"/>
    </w:pPr>
    <w:rPr>
      <w:rFonts w:eastAsia="Verdana" w:cs="Arial"/>
      <w:b/>
      <w:bCs/>
      <w:i/>
      <w:kern w:val="32"/>
      <w:lang w:eastAsia="en-GB"/>
    </w:rPr>
  </w:style>
  <w:style w:type="paragraph" w:styleId="Heading6">
    <w:name w:val="heading 6"/>
    <w:basedOn w:val="No-numheading6Agency"/>
    <w:next w:val="BodytextAgency"/>
    <w:qFormat/>
  </w:style>
  <w:style w:type="paragraph" w:styleId="Heading7">
    <w:name w:val="heading 7"/>
    <w:basedOn w:val="No-numheading7Agency"/>
    <w:next w:val="BodytextAgency"/>
    <w:qFormat/>
  </w:style>
  <w:style w:type="paragraph" w:styleId="Heading8">
    <w:name w:val="heading 8"/>
    <w:basedOn w:val="No-numheading8Agency"/>
    <w:next w:val="BodytextAgency"/>
    <w:qFormat/>
  </w:style>
  <w:style w:type="paragraph" w:styleId="Heading9">
    <w:name w:val="heading 9"/>
    <w:basedOn w:val="No-numheading9Agency"/>
    <w:next w:val="BodytextAgency"/>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numheading1Agency">
    <w:name w:val="No-num heading 1 (Agency)"/>
    <w:basedOn w:val="Normal"/>
    <w:next w:val="BodytextAgency"/>
    <w:pPr>
      <w:keepNext/>
      <w:spacing w:before="280" w:after="220"/>
      <w:outlineLvl w:val="0"/>
    </w:pPr>
    <w:rPr>
      <w:rFonts w:eastAsia="Verdana" w:cs="Arial"/>
      <w:b/>
      <w:bCs/>
      <w:kern w:val="32"/>
      <w:sz w:val="27"/>
      <w:szCs w:val="27"/>
      <w:lang w:eastAsia="en-GB"/>
    </w:rPr>
  </w:style>
  <w:style w:type="paragraph" w:customStyle="1" w:styleId="BodytextAgency">
    <w:name w:val="Body text (Agency)"/>
    <w:basedOn w:val="Normal"/>
    <w:pPr>
      <w:spacing w:after="140" w:line="280" w:lineRule="atLeast"/>
    </w:pPr>
    <w:rPr>
      <w:rFonts w:eastAsia="Verdana"/>
      <w:lang w:eastAsia="en-GB"/>
    </w:rPr>
  </w:style>
  <w:style w:type="paragraph" w:customStyle="1" w:styleId="No-numheading2Agency">
    <w:name w:val="No-num heading 2 (Agency)"/>
    <w:basedOn w:val="Normal"/>
    <w:next w:val="BodytextAgency"/>
    <w:pPr>
      <w:keepNext/>
      <w:spacing w:before="280" w:after="220"/>
      <w:outlineLvl w:val="1"/>
    </w:pPr>
    <w:rPr>
      <w:rFonts w:eastAsia="Verdana" w:cs="Arial"/>
      <w:b/>
      <w:bCs/>
      <w:i/>
      <w:kern w:val="32"/>
      <w:sz w:val="22"/>
      <w:szCs w:val="22"/>
      <w:lang w:eastAsia="en-GB"/>
    </w:rPr>
  </w:style>
  <w:style w:type="paragraph" w:customStyle="1" w:styleId="No-numheading3Agency">
    <w:name w:val="No-num heading 3 (Agency)"/>
    <w:basedOn w:val="Heading3Agency"/>
    <w:next w:val="BodytextAgency"/>
    <w:pPr>
      <w:numPr>
        <w:ilvl w:val="0"/>
        <w:numId w:val="0"/>
      </w:numPr>
    </w:pPr>
  </w:style>
  <w:style w:type="paragraph" w:customStyle="1" w:styleId="Heading3Agency">
    <w:name w:val="Heading 3 (Agency)"/>
    <w:basedOn w:val="Normal"/>
    <w:next w:val="BodytextAgency"/>
    <w:pPr>
      <w:keepNext/>
      <w:numPr>
        <w:ilvl w:val="2"/>
        <w:numId w:val="37"/>
      </w:numPr>
      <w:spacing w:before="280" w:after="220"/>
      <w:outlineLvl w:val="2"/>
    </w:pPr>
    <w:rPr>
      <w:rFonts w:eastAsia="Verdana" w:cs="Arial"/>
      <w:b/>
      <w:bCs/>
      <w:kern w:val="32"/>
      <w:sz w:val="22"/>
      <w:szCs w:val="22"/>
      <w:lang w:eastAsia="en-GB"/>
    </w:rPr>
  </w:style>
  <w:style w:type="paragraph" w:customStyle="1" w:styleId="No-numheading4Agency">
    <w:name w:val="No-num heading 4 (Agency)"/>
    <w:basedOn w:val="Heading4Agency"/>
    <w:next w:val="BodytextAgency"/>
    <w:semiHidden/>
    <w:pPr>
      <w:numPr>
        <w:ilvl w:val="0"/>
        <w:numId w:val="0"/>
      </w:numPr>
    </w:pPr>
  </w:style>
  <w:style w:type="paragraph" w:customStyle="1" w:styleId="Heading4Agency">
    <w:name w:val="Heading 4 (Agency)"/>
    <w:basedOn w:val="Heading3Agency"/>
    <w:next w:val="BodytextAgency"/>
    <w:semiHidden/>
    <w:pPr>
      <w:numPr>
        <w:ilvl w:val="3"/>
      </w:numPr>
      <w:outlineLvl w:val="3"/>
    </w:pPr>
    <w:rPr>
      <w:i/>
      <w:sz w:val="18"/>
      <w:szCs w:val="18"/>
    </w:rPr>
  </w:style>
  <w:style w:type="paragraph" w:customStyle="1" w:styleId="No-numheading6Agency">
    <w:name w:val="No-num heading 6 (Agency)"/>
    <w:basedOn w:val="No-numheading5Agency"/>
    <w:next w:val="BodytextAgency"/>
    <w:semiHidden/>
    <w:pPr>
      <w:outlineLvl w:val="5"/>
    </w:pPr>
  </w:style>
  <w:style w:type="paragraph" w:customStyle="1" w:styleId="No-numheading5Agency">
    <w:name w:val="No-num heading 5 (Agency)"/>
    <w:basedOn w:val="Heading5Agency"/>
    <w:next w:val="BodytextAgency"/>
    <w:semiHidden/>
    <w:pPr>
      <w:numPr>
        <w:ilvl w:val="0"/>
        <w:numId w:val="0"/>
      </w:numPr>
    </w:pPr>
  </w:style>
  <w:style w:type="paragraph" w:customStyle="1" w:styleId="Heading5Agency">
    <w:name w:val="Heading 5 (Agency)"/>
    <w:basedOn w:val="Heading4Agency"/>
    <w:next w:val="BodytextAgency"/>
    <w:semiHidden/>
    <w:pPr>
      <w:numPr>
        <w:ilvl w:val="4"/>
      </w:numPr>
      <w:outlineLvl w:val="4"/>
    </w:pPr>
    <w:rPr>
      <w:i w:val="0"/>
    </w:rPr>
  </w:style>
  <w:style w:type="paragraph" w:customStyle="1" w:styleId="No-numheading7Agency">
    <w:name w:val="No-num heading 7 (Agency)"/>
    <w:basedOn w:val="No-numheading6Agency"/>
    <w:next w:val="BodytextAgency"/>
    <w:semiHidden/>
    <w:pPr>
      <w:outlineLvl w:val="6"/>
    </w:pPr>
  </w:style>
  <w:style w:type="paragraph" w:customStyle="1" w:styleId="No-numheading8Agency">
    <w:name w:val="No-num heading 8 (Agency)"/>
    <w:basedOn w:val="No-numheading7Agency"/>
    <w:next w:val="BodytextAgency"/>
    <w:semiHidden/>
    <w:pPr>
      <w:outlineLvl w:val="7"/>
    </w:pPr>
  </w:style>
  <w:style w:type="paragraph" w:customStyle="1" w:styleId="No-numheading9Agency">
    <w:name w:val="No-num heading 9 (Agency)"/>
    <w:basedOn w:val="No-numheading8Agency"/>
    <w:next w:val="BodytextAgency"/>
    <w:semiHidden/>
    <w:pPr>
      <w:outlineLvl w:val="8"/>
    </w:pPr>
  </w:style>
  <w:style w:type="paragraph" w:styleId="Footer">
    <w:name w:val="footer"/>
    <w:basedOn w:val="Normal"/>
    <w:semiHidden/>
    <w:pPr>
      <w:tabs>
        <w:tab w:val="center" w:pos="4536"/>
        <w:tab w:val="right" w:pos="8306"/>
      </w:tabs>
    </w:pPr>
    <w:rPr>
      <w:rFonts w:ascii="Arial" w:eastAsia="Times New Roman" w:hAnsi="Arial"/>
      <w:noProof/>
      <w:sz w:val="16"/>
      <w:szCs w:val="20"/>
      <w:lang w:eastAsia="en-US"/>
    </w:rPr>
  </w:style>
  <w:style w:type="paragraph" w:styleId="Header">
    <w:name w:val="header"/>
    <w:basedOn w:val="Normal"/>
    <w:semiHidden/>
    <w:pPr>
      <w:tabs>
        <w:tab w:val="center" w:pos="4153"/>
        <w:tab w:val="right" w:pos="8306"/>
      </w:tabs>
    </w:pPr>
    <w:rPr>
      <w:rFonts w:ascii="Arial" w:eastAsia="Times New Roman" w:hAnsi="Arial"/>
      <w:sz w:val="20"/>
      <w:szCs w:val="20"/>
      <w:lang w:eastAsia="en-US"/>
    </w:rPr>
  </w:style>
  <w:style w:type="character" w:styleId="PageNumber">
    <w:name w:val="page number"/>
    <w:basedOn w:val="DefaultParagraphFont"/>
    <w:semiHidden/>
  </w:style>
  <w:style w:type="paragraph" w:customStyle="1" w:styleId="FooterAgency">
    <w:name w:val="Footer (Agency)"/>
    <w:basedOn w:val="Normal"/>
    <w:semiHidden/>
    <w:rPr>
      <w:rFonts w:eastAsia="Verdana"/>
      <w:color w:val="6D6F71"/>
      <w:sz w:val="14"/>
      <w:szCs w:val="14"/>
      <w:lang w:eastAsia="en-GB"/>
    </w:rPr>
  </w:style>
  <w:style w:type="paragraph" w:customStyle="1" w:styleId="FooterblueAgency">
    <w:name w:val="Footer blue (Agency)"/>
    <w:basedOn w:val="Normal"/>
    <w:semiHidden/>
    <w:rPr>
      <w:rFonts w:eastAsia="Verdana"/>
      <w:b/>
      <w:color w:val="003399"/>
      <w:sz w:val="13"/>
      <w:szCs w:val="14"/>
      <w:lang w:eastAsia="en-GB"/>
    </w:rPr>
  </w:style>
  <w:style w:type="character" w:customStyle="1" w:styleId="FooterAgencyCharChar">
    <w:name w:val="Footer (Agency) Char Char"/>
    <w:semiHidden/>
    <w:rPr>
      <w:rFonts w:ascii="Verdana" w:eastAsia="Verdana" w:hAnsi="Verdana" w:cs="Verdana"/>
      <w:color w:val="6D6F71"/>
      <w:sz w:val="14"/>
      <w:szCs w:val="14"/>
      <w:lang w:val="en-GB" w:eastAsia="en-GB" w:bidi="ar-SA"/>
    </w:rPr>
  </w:style>
  <w:style w:type="paragraph" w:customStyle="1" w:styleId="PagenumberAgency">
    <w:name w:val="Page number (Agency)"/>
    <w:basedOn w:val="Normal"/>
    <w:next w:val="Normal"/>
    <w:semiHidden/>
    <w:pPr>
      <w:tabs>
        <w:tab w:val="right" w:pos="9781"/>
      </w:tabs>
      <w:jc w:val="right"/>
    </w:pPr>
    <w:rPr>
      <w:rFonts w:eastAsia="Verdana"/>
      <w:color w:val="6D6F71"/>
      <w:sz w:val="14"/>
      <w:szCs w:val="14"/>
      <w:lang w:eastAsia="en-GB"/>
    </w:rPr>
  </w:style>
  <w:style w:type="character" w:customStyle="1" w:styleId="PagenumberAgencyCharChar">
    <w:name w:val="Page number (Agency) Char Char"/>
    <w:basedOn w:val="FooterAgencyCharChar"/>
    <w:rPr>
      <w:rFonts w:ascii="Verdana" w:eastAsia="Verdana" w:hAnsi="Verdana" w:cs="Verdana"/>
      <w:color w:val="6D6F71"/>
      <w:sz w:val="14"/>
      <w:szCs w:val="14"/>
      <w:lang w:val="en-GB" w:eastAsia="en-GB" w:bidi="ar-SA"/>
    </w:rPr>
  </w:style>
  <w:style w:type="character" w:customStyle="1" w:styleId="FooterblueAgencyCharChar">
    <w:name w:val="Footer blue (Agency) Char Char"/>
    <w:semiHidden/>
    <w:rPr>
      <w:rFonts w:ascii="Verdana" w:eastAsia="Verdana" w:hAnsi="Verdana" w:cs="Verdana"/>
      <w:b/>
      <w:color w:val="003399"/>
      <w:sz w:val="13"/>
      <w:szCs w:val="14"/>
      <w:lang w:val="en-GB" w:eastAsia="en-GB" w:bidi="ar-SA"/>
    </w:rPr>
  </w:style>
  <w:style w:type="paragraph" w:styleId="BodyText">
    <w:name w:val="Body Text"/>
    <w:basedOn w:val="Normal"/>
    <w:semiHidden/>
    <w:pPr>
      <w:spacing w:after="140" w:line="280" w:lineRule="atLeast"/>
    </w:pPr>
  </w:style>
  <w:style w:type="paragraph" w:customStyle="1" w:styleId="DisclaimerAgency">
    <w:name w:val="Disclaimer (Agency)"/>
    <w:basedOn w:val="Normal"/>
    <w:semiHidden/>
    <w:pPr>
      <w:tabs>
        <w:tab w:val="center" w:pos="4320"/>
        <w:tab w:val="right" w:pos="8640"/>
      </w:tabs>
      <w:spacing w:after="57" w:line="150" w:lineRule="exact"/>
    </w:pPr>
    <w:rPr>
      <w:rFonts w:eastAsia="Verdana"/>
      <w:snapToGrid w:val="0"/>
      <w:color w:val="6D6F71"/>
      <w:sz w:val="13"/>
      <w:szCs w:val="13"/>
      <w:lang w:eastAsia="en-GB"/>
    </w:rPr>
  </w:style>
  <w:style w:type="paragraph" w:customStyle="1" w:styleId="DocsubtitleAgency">
    <w:name w:val="Doc subtitle (Agency)"/>
    <w:basedOn w:val="Normal"/>
    <w:next w:val="BodytextAgency"/>
    <w:pPr>
      <w:spacing w:after="640" w:line="360" w:lineRule="atLeast"/>
    </w:pPr>
    <w:rPr>
      <w:rFonts w:eastAsia="Verdana"/>
      <w:sz w:val="24"/>
      <w:szCs w:val="24"/>
      <w:lang w:eastAsia="en-GB"/>
    </w:rPr>
  </w:style>
  <w:style w:type="paragraph" w:customStyle="1" w:styleId="DoctitleAgency">
    <w:name w:val="Doc title (Agency)"/>
    <w:basedOn w:val="Normal"/>
    <w:next w:val="DocsubtitleAgency"/>
    <w:pPr>
      <w:spacing w:before="720" w:line="360" w:lineRule="atLeast"/>
    </w:pPr>
    <w:rPr>
      <w:rFonts w:eastAsia="Verdana"/>
      <w:color w:val="003399"/>
      <w:sz w:val="32"/>
      <w:szCs w:val="32"/>
      <w:lang w:eastAsia="en-GB"/>
    </w:rPr>
  </w:style>
  <w:style w:type="paragraph" w:customStyle="1" w:styleId="DraftingNotesAgency">
    <w:name w:val="Drafting Notes (Agency)"/>
    <w:basedOn w:val="Normal"/>
    <w:next w:val="BodytextAgency"/>
    <w:pPr>
      <w:spacing w:after="140" w:line="280" w:lineRule="atLeast"/>
    </w:pPr>
    <w:rPr>
      <w:rFonts w:ascii="Courier New" w:eastAsia="Verdana" w:hAnsi="Courier New" w:cs="Times New Roman"/>
      <w:i/>
      <w:color w:val="339966"/>
      <w:sz w:val="22"/>
      <w:lang w:eastAsia="en-GB"/>
    </w:rPr>
  </w:style>
  <w:style w:type="character" w:styleId="EndnoteReference">
    <w:name w:val="endnote reference"/>
    <w:semiHidden/>
    <w:rPr>
      <w:rFonts w:ascii="Verdana" w:hAnsi="Verdana"/>
      <w:vertAlign w:val="superscript"/>
    </w:rPr>
  </w:style>
  <w:style w:type="character" w:customStyle="1" w:styleId="EndnotereferenceAgency">
    <w:name w:val="Endnote reference (Agency)"/>
    <w:semiHidden/>
    <w:rPr>
      <w:rFonts w:ascii="Verdana" w:hAnsi="Verdana"/>
      <w:vertAlign w:val="superscript"/>
    </w:rPr>
  </w:style>
  <w:style w:type="paragraph" w:styleId="EndnoteText">
    <w:name w:val="endnote text"/>
    <w:basedOn w:val="Normal"/>
    <w:semiHidden/>
    <w:rPr>
      <w:rFonts w:eastAsia="Verdana"/>
      <w:sz w:val="15"/>
      <w:szCs w:val="15"/>
      <w:lang w:eastAsia="en-GB"/>
    </w:rPr>
  </w:style>
  <w:style w:type="paragraph" w:customStyle="1" w:styleId="EndnotetextAgency">
    <w:name w:val="Endnote text (Agency)"/>
    <w:basedOn w:val="Normal"/>
    <w:semiHidden/>
    <w:rPr>
      <w:rFonts w:eastAsia="Verdana"/>
      <w:sz w:val="15"/>
      <w:lang w:eastAsia="en-GB"/>
    </w:rPr>
  </w:style>
  <w:style w:type="paragraph" w:customStyle="1" w:styleId="FigureAgency">
    <w:name w:val="Figure (Agency)"/>
    <w:basedOn w:val="Normal"/>
    <w:next w:val="BodytextAgency"/>
    <w:semiHidden/>
    <w:pPr>
      <w:jc w:val="center"/>
    </w:pPr>
  </w:style>
  <w:style w:type="paragraph" w:customStyle="1" w:styleId="FigureheadingAgency">
    <w:name w:val="Figure heading (Agency)"/>
    <w:basedOn w:val="Normal"/>
    <w:next w:val="FigureAgency"/>
    <w:semiHidden/>
    <w:pPr>
      <w:keepNext/>
      <w:numPr>
        <w:numId w:val="28"/>
      </w:numPr>
      <w:spacing w:before="240" w:after="120"/>
    </w:pPr>
  </w:style>
  <w:style w:type="character" w:styleId="FootnoteReference">
    <w:name w:val="footnote reference"/>
    <w:semiHidden/>
    <w:rPr>
      <w:rFonts w:ascii="Verdana" w:hAnsi="Verdana"/>
      <w:vertAlign w:val="superscript"/>
    </w:rPr>
  </w:style>
  <w:style w:type="character" w:customStyle="1" w:styleId="FootnotereferenceAgency">
    <w:name w:val="Footnote reference (Agency)"/>
    <w:semiHidden/>
    <w:rPr>
      <w:rFonts w:ascii="Verdana" w:hAnsi="Verdana"/>
      <w:color w:val="auto"/>
      <w:vertAlign w:val="superscript"/>
    </w:rPr>
  </w:style>
  <w:style w:type="paragraph" w:styleId="FootnoteText">
    <w:name w:val="footnote text"/>
    <w:basedOn w:val="Normal"/>
    <w:semiHidden/>
    <w:rPr>
      <w:rFonts w:eastAsia="Verdana"/>
      <w:sz w:val="15"/>
      <w:szCs w:val="20"/>
      <w:lang w:eastAsia="en-GB"/>
    </w:rPr>
  </w:style>
  <w:style w:type="paragraph" w:customStyle="1" w:styleId="FootnotetextAgency">
    <w:name w:val="Footnote text (Agency)"/>
    <w:basedOn w:val="Normal"/>
    <w:semiHidden/>
    <w:rPr>
      <w:rFonts w:eastAsia="Verdana"/>
      <w:sz w:val="15"/>
      <w:lang w:eastAsia="en-GB"/>
    </w:rPr>
  </w:style>
  <w:style w:type="paragraph" w:customStyle="1" w:styleId="HeaderAgency">
    <w:name w:val="Header (Agency)"/>
    <w:basedOn w:val="Normal"/>
    <w:semiHidden/>
    <w:rPr>
      <w:rFonts w:eastAsia="Verdana"/>
      <w:lang w:eastAsia="en-GB"/>
    </w:rPr>
  </w:style>
  <w:style w:type="paragraph" w:customStyle="1" w:styleId="Heading1Agency">
    <w:name w:val="Heading 1 (Agency)"/>
    <w:basedOn w:val="Normal"/>
    <w:next w:val="BodytextAgency"/>
    <w:pPr>
      <w:keepNext/>
      <w:numPr>
        <w:numId w:val="37"/>
      </w:numPr>
      <w:spacing w:before="280" w:after="220"/>
      <w:outlineLvl w:val="0"/>
    </w:pPr>
    <w:rPr>
      <w:rFonts w:eastAsia="Verdana" w:cs="Arial"/>
      <w:b/>
      <w:bCs/>
      <w:kern w:val="32"/>
      <w:sz w:val="27"/>
      <w:szCs w:val="27"/>
      <w:lang w:eastAsia="en-GB"/>
    </w:rPr>
  </w:style>
  <w:style w:type="paragraph" w:customStyle="1" w:styleId="Heading2Agency">
    <w:name w:val="Heading 2 (Agency)"/>
    <w:basedOn w:val="Normal"/>
    <w:next w:val="BodytextAgency"/>
    <w:pPr>
      <w:keepNext/>
      <w:numPr>
        <w:ilvl w:val="1"/>
        <w:numId w:val="37"/>
      </w:numPr>
      <w:spacing w:before="280" w:after="220"/>
      <w:outlineLvl w:val="1"/>
    </w:pPr>
    <w:rPr>
      <w:rFonts w:eastAsia="Verdana" w:cs="Arial"/>
      <w:b/>
      <w:bCs/>
      <w:i/>
      <w:kern w:val="32"/>
      <w:sz w:val="22"/>
      <w:szCs w:val="22"/>
      <w:lang w:eastAsia="en-GB"/>
    </w:rPr>
  </w:style>
  <w:style w:type="paragraph" w:customStyle="1" w:styleId="Heading6Agency">
    <w:name w:val="Heading 6 (Agency)"/>
    <w:basedOn w:val="Heading5Agency"/>
    <w:next w:val="BodytextAgency"/>
    <w:semiHidden/>
    <w:pPr>
      <w:numPr>
        <w:ilvl w:val="5"/>
      </w:numPr>
      <w:outlineLvl w:val="5"/>
    </w:pPr>
  </w:style>
  <w:style w:type="paragraph" w:customStyle="1" w:styleId="Heading7Agency">
    <w:name w:val="Heading 7 (Agency)"/>
    <w:basedOn w:val="Heading6Agency"/>
    <w:next w:val="BodytextAgency"/>
    <w:semiHidden/>
    <w:pPr>
      <w:numPr>
        <w:ilvl w:val="6"/>
      </w:numPr>
      <w:outlineLvl w:val="6"/>
    </w:pPr>
  </w:style>
  <w:style w:type="paragraph" w:customStyle="1" w:styleId="Heading8Agency">
    <w:name w:val="Heading 8 (Agency)"/>
    <w:basedOn w:val="Heading7Agency"/>
    <w:next w:val="BodytextAgency"/>
    <w:semiHidden/>
    <w:pPr>
      <w:numPr>
        <w:ilvl w:val="7"/>
      </w:numPr>
      <w:outlineLvl w:val="7"/>
    </w:pPr>
  </w:style>
  <w:style w:type="paragraph" w:customStyle="1" w:styleId="Heading9Agency">
    <w:name w:val="Heading 9 (Agency)"/>
    <w:basedOn w:val="Heading8Agency"/>
    <w:next w:val="BodytextAgency"/>
    <w:semiHidden/>
    <w:pPr>
      <w:numPr>
        <w:ilvl w:val="8"/>
      </w:numPr>
      <w:outlineLvl w:val="8"/>
    </w:pPr>
  </w:style>
  <w:style w:type="paragraph" w:customStyle="1" w:styleId="NormalAgency">
    <w:name w:val="Normal (Agency)"/>
    <w:rPr>
      <w:rFonts w:ascii="Verdana" w:eastAsia="Verdana" w:hAnsi="Verdana" w:cs="Verdana"/>
      <w:sz w:val="18"/>
      <w:szCs w:val="18"/>
      <w:lang w:val="en-GB" w:eastAsia="en-GB"/>
    </w:rPr>
  </w:style>
  <w:style w:type="paragraph" w:customStyle="1" w:styleId="No-TOCheadingAgency">
    <w:name w:val="No-TOC heading (Agency)"/>
    <w:basedOn w:val="Normal"/>
    <w:next w:val="Normal"/>
    <w:pPr>
      <w:keepNext/>
      <w:spacing w:before="280" w:after="220"/>
    </w:pPr>
    <w:rPr>
      <w:rFonts w:eastAsia="Times New Roman" w:cs="Arial"/>
      <w:b/>
      <w:kern w:val="32"/>
      <w:sz w:val="27"/>
      <w:szCs w:val="27"/>
      <w:lang w:eastAsia="en-GB"/>
    </w:rPr>
  </w:style>
  <w:style w:type="paragraph" w:customStyle="1" w:styleId="RefAgency">
    <w:name w:val="Ref. (Agency)"/>
    <w:basedOn w:val="Normal"/>
    <w:semiHidden/>
    <w:rPr>
      <w:rFonts w:eastAsia="Times New Roman" w:cs="Times New Roman"/>
      <w:sz w:val="17"/>
      <w:lang w:eastAsia="en-GB"/>
    </w:rPr>
  </w:style>
  <w:style w:type="paragraph" w:customStyle="1" w:styleId="TablefirstrowAgency">
    <w:name w:val="Table first row (Agency)"/>
    <w:basedOn w:val="BodytextAgency"/>
    <w:semiHidden/>
    <w:pPr>
      <w:keepNext/>
    </w:pPr>
    <w:rPr>
      <w:rFonts w:eastAsia="Times New Roman"/>
      <w:b/>
    </w:rPr>
  </w:style>
  <w:style w:type="paragraph" w:customStyle="1" w:styleId="TableheadingAgency">
    <w:name w:val="Table heading (Agency)"/>
    <w:basedOn w:val="Normal"/>
    <w:next w:val="BodytextAgency"/>
    <w:semiHidden/>
    <w:pPr>
      <w:keepNext/>
      <w:numPr>
        <w:numId w:val="39"/>
      </w:numPr>
      <w:spacing w:before="240" w:after="120"/>
    </w:pPr>
  </w:style>
  <w:style w:type="paragraph" w:customStyle="1" w:styleId="TableheadingrowsAgency">
    <w:name w:val="Table heading rows (Agency)"/>
    <w:basedOn w:val="BodytextAgency"/>
    <w:semiHidden/>
    <w:pPr>
      <w:keepNext/>
    </w:pPr>
    <w:rPr>
      <w:rFonts w:eastAsia="Times New Roman"/>
      <w:b/>
    </w:rPr>
  </w:style>
  <w:style w:type="paragraph" w:customStyle="1" w:styleId="TabletextrowsAgency">
    <w:name w:val="Table text rows (Agency)"/>
    <w:basedOn w:val="Normal"/>
    <w:pPr>
      <w:spacing w:line="280" w:lineRule="exact"/>
    </w:pPr>
    <w:rPr>
      <w:rFonts w:eastAsia="Times New Roman"/>
    </w:rPr>
  </w:style>
  <w:style w:type="paragraph" w:customStyle="1" w:styleId="TableFigurenoteAgency">
    <w:name w:val="Table/Figure note (Agency)"/>
    <w:basedOn w:val="BodytextAgency"/>
    <w:next w:val="BodytextAgency"/>
    <w:pPr>
      <w:spacing w:before="60" w:after="240" w:line="240" w:lineRule="auto"/>
    </w:pPr>
    <w:rPr>
      <w:sz w:val="16"/>
      <w:szCs w:val="16"/>
    </w:rPr>
  </w:style>
  <w:style w:type="paragraph" w:styleId="TOC1">
    <w:name w:val="toc 1"/>
    <w:basedOn w:val="Normal"/>
    <w:next w:val="BodytextAgency"/>
    <w:semiHidden/>
    <w:pPr>
      <w:keepNext/>
      <w:tabs>
        <w:tab w:val="right" w:leader="dot" w:pos="9401"/>
      </w:tabs>
      <w:spacing w:before="140" w:after="57" w:line="240" w:lineRule="atLeast"/>
    </w:pPr>
    <w:rPr>
      <w:rFonts w:eastAsia="Verdana"/>
      <w:b/>
      <w:noProof/>
      <w:sz w:val="22"/>
      <w:szCs w:val="22"/>
      <w:lang w:eastAsia="en-GB"/>
    </w:rPr>
  </w:style>
  <w:style w:type="paragraph" w:styleId="TOC2">
    <w:name w:val="toc 2"/>
    <w:basedOn w:val="Normal"/>
    <w:next w:val="BodytextAgency"/>
    <w:semiHidden/>
    <w:pPr>
      <w:tabs>
        <w:tab w:val="right" w:leader="dot" w:pos="9401"/>
      </w:tabs>
      <w:spacing w:after="57" w:line="240" w:lineRule="atLeast"/>
    </w:pPr>
    <w:rPr>
      <w:rFonts w:eastAsia="Verdana"/>
      <w:noProof/>
      <w:sz w:val="20"/>
      <w:lang w:eastAsia="en-GB"/>
    </w:rPr>
  </w:style>
  <w:style w:type="paragraph" w:styleId="TOC3">
    <w:name w:val="toc 3"/>
    <w:basedOn w:val="Normal"/>
    <w:next w:val="BodytextAgency"/>
    <w:semiHidden/>
    <w:pPr>
      <w:tabs>
        <w:tab w:val="right" w:leader="dot" w:pos="9401"/>
      </w:tabs>
      <w:spacing w:after="57" w:line="240" w:lineRule="atLeast"/>
    </w:pPr>
    <w:rPr>
      <w:rFonts w:eastAsia="Verdana"/>
      <w:noProof/>
      <w:sz w:val="20"/>
      <w:lang w:eastAsia="en-GB"/>
    </w:rPr>
  </w:style>
  <w:style w:type="paragraph" w:styleId="TOC4">
    <w:name w:val="toc 4"/>
    <w:basedOn w:val="Normal"/>
    <w:next w:val="BodytextAgency"/>
    <w:semiHidden/>
    <w:pPr>
      <w:tabs>
        <w:tab w:val="right" w:leader="dot" w:pos="9401"/>
      </w:tabs>
      <w:spacing w:after="57" w:line="240" w:lineRule="atLeast"/>
    </w:pPr>
    <w:rPr>
      <w:noProof/>
      <w:sz w:val="20"/>
    </w:rPr>
  </w:style>
  <w:style w:type="paragraph" w:styleId="TOC5">
    <w:name w:val="toc 5"/>
    <w:basedOn w:val="Normal"/>
    <w:next w:val="BodytextAgency"/>
    <w:semiHidden/>
    <w:pPr>
      <w:tabs>
        <w:tab w:val="right" w:leader="dot" w:pos="9401"/>
      </w:tabs>
      <w:spacing w:after="57" w:line="240" w:lineRule="atLeast"/>
    </w:pPr>
    <w:rPr>
      <w:noProof/>
      <w:sz w:val="20"/>
    </w:rPr>
  </w:style>
  <w:style w:type="paragraph" w:styleId="TOC6">
    <w:name w:val="toc 6"/>
    <w:basedOn w:val="Normal"/>
    <w:next w:val="BodytextAgency"/>
    <w:autoRedefine/>
    <w:semiHidden/>
    <w:pPr>
      <w:spacing w:after="57" w:line="240" w:lineRule="exact"/>
    </w:pPr>
    <w:rPr>
      <w:rFonts w:eastAsia="Times New Roman"/>
    </w:rPr>
  </w:style>
  <w:style w:type="paragraph" w:styleId="TOC7">
    <w:name w:val="toc 7"/>
    <w:basedOn w:val="Normal"/>
    <w:next w:val="BodytextAgency"/>
    <w:semiHidden/>
    <w:pPr>
      <w:spacing w:after="57" w:line="240" w:lineRule="exact"/>
    </w:pPr>
    <w:rPr>
      <w:rFonts w:eastAsia="Times New Roman"/>
    </w:rPr>
  </w:style>
  <w:style w:type="paragraph" w:styleId="TOC8">
    <w:name w:val="toc 8"/>
    <w:basedOn w:val="Normal"/>
    <w:next w:val="BodytextAgency"/>
    <w:semiHidden/>
    <w:pPr>
      <w:spacing w:after="57" w:line="240" w:lineRule="exact"/>
    </w:pPr>
    <w:rPr>
      <w:rFonts w:eastAsia="Times New Roman"/>
    </w:rPr>
  </w:style>
  <w:style w:type="paragraph" w:styleId="TOC9">
    <w:name w:val="toc 9"/>
    <w:basedOn w:val="Normal"/>
    <w:next w:val="BodytextAgency"/>
    <w:semiHidden/>
    <w:pPr>
      <w:spacing w:after="57" w:line="240" w:lineRule="exact"/>
    </w:pPr>
    <w:rPr>
      <w:rFonts w:eastAsia="Times New Roman"/>
    </w:rPr>
  </w:style>
  <w:style w:type="paragraph" w:styleId="BalloonText">
    <w:name w:val="Balloon Text"/>
    <w:basedOn w:val="Normal"/>
    <w:semiHidden/>
    <w:rPr>
      <w:rFonts w:ascii="Tahoma" w:hAnsi="Tahoma" w:cs="Tahoma"/>
      <w:sz w:val="16"/>
      <w:szCs w:val="16"/>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BodyTextFirstIndent">
    <w:name w:val="Body Text First Indent"/>
    <w:basedOn w:val="BodyText"/>
    <w:semiHidden/>
    <w:pPr>
      <w:spacing w:after="120" w:line="240" w:lineRule="auto"/>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6"/>
      <w:szCs w:val="16"/>
    </w:rPr>
  </w:style>
  <w:style w:type="paragraph" w:styleId="Caption">
    <w:name w:val="caption"/>
    <w:basedOn w:val="Normal"/>
    <w:next w:val="Normal"/>
    <w:qFormat/>
    <w:rPr>
      <w:b/>
      <w:bCs/>
      <w:sz w:val="20"/>
      <w:szCs w:val="20"/>
    </w:rPr>
  </w:style>
  <w:style w:type="paragraph" w:styleId="Closing">
    <w:name w:val="Closing"/>
    <w:basedOn w:val="Normal"/>
    <w:semiHidden/>
    <w:pPr>
      <w:ind w:left="4252"/>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emiHidden/>
  </w:style>
  <w:style w:type="paragraph" w:styleId="DocumentMap">
    <w:name w:val="Document Map"/>
    <w:basedOn w:val="Normal"/>
    <w:semiHidden/>
    <w:pPr>
      <w:shd w:val="clear" w:color="auto" w:fill="000080"/>
    </w:pPr>
    <w:rPr>
      <w:rFonts w:ascii="Tahoma" w:hAnsi="Tahoma" w:cs="Tahoma"/>
      <w:sz w:val="20"/>
      <w:szCs w:val="20"/>
    </w:rPr>
  </w:style>
  <w:style w:type="paragraph" w:styleId="E-mailSignature">
    <w:name w:val="E-mail Signature"/>
    <w:basedOn w:val="Normal"/>
    <w:semiHidden/>
  </w:style>
  <w:style w:type="character" w:styleId="Emphasis">
    <w:name w:val="Emphasis"/>
    <w:qFormat/>
    <w:rPr>
      <w:i/>
      <w:iCs/>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Pr>
      <w:rFonts w:ascii="Arial" w:hAnsi="Arial" w:cs="Arial"/>
      <w:sz w:val="20"/>
      <w:szCs w:val="20"/>
    </w:rPr>
  </w:style>
  <w:style w:type="character" w:styleId="FollowedHyperlink">
    <w:name w:val="FollowedHyperlink"/>
    <w:semiHidden/>
    <w:rPr>
      <w:color w:val="800080"/>
      <w:u w:val="single"/>
    </w:rPr>
  </w:style>
  <w:style w:type="character" w:styleId="HTMLAcronym">
    <w:name w:val="HTML Acronym"/>
    <w:basedOn w:val="DefaultParagraphFont"/>
    <w:semiHidden/>
  </w:style>
  <w:style w:type="paragraph" w:styleId="HTMLAddress">
    <w:name w:val="HTML Address"/>
    <w:basedOn w:val="Normal"/>
    <w:semiHidden/>
    <w:rPr>
      <w:i/>
      <w:iCs/>
    </w:rPr>
  </w:style>
  <w:style w:type="character" w:styleId="HTMLCite">
    <w:name w:val="HTML Cite"/>
    <w:semiHidden/>
    <w:rPr>
      <w:i/>
      <w:iCs/>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szCs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Pr>
      <w:i/>
      <w:iCs/>
    </w:rPr>
  </w:style>
  <w:style w:type="character" w:styleId="Hyperlink">
    <w:name w:val="Hyperlink"/>
    <w:semiHidden/>
    <w:rPr>
      <w:color w:val="0000FF"/>
      <w:u w:val="single"/>
    </w:rPr>
  </w:style>
  <w:style w:type="paragraph" w:styleId="Index1">
    <w:name w:val="index 1"/>
    <w:basedOn w:val="Normal"/>
    <w:next w:val="Normal"/>
    <w:semiHidden/>
    <w:pPr>
      <w:ind w:left="180" w:hanging="180"/>
    </w:pPr>
  </w:style>
  <w:style w:type="paragraph" w:styleId="Index2">
    <w:name w:val="index 2"/>
    <w:basedOn w:val="Normal"/>
    <w:next w:val="Normal"/>
    <w:semiHidden/>
    <w:pPr>
      <w:ind w:left="360" w:hanging="180"/>
    </w:pPr>
  </w:style>
  <w:style w:type="paragraph" w:styleId="Index3">
    <w:name w:val="index 3"/>
    <w:basedOn w:val="Normal"/>
    <w:next w:val="Normal"/>
    <w:semiHidden/>
    <w:pPr>
      <w:ind w:left="540" w:hanging="180"/>
    </w:pPr>
  </w:style>
  <w:style w:type="paragraph" w:styleId="Index4">
    <w:name w:val="index 4"/>
    <w:basedOn w:val="Normal"/>
    <w:next w:val="Normal"/>
    <w:semiHidden/>
    <w:pPr>
      <w:ind w:left="720" w:hanging="180"/>
    </w:pPr>
  </w:style>
  <w:style w:type="paragraph" w:styleId="Index5">
    <w:name w:val="index 5"/>
    <w:basedOn w:val="Normal"/>
    <w:next w:val="Normal"/>
    <w:semiHidden/>
    <w:pPr>
      <w:ind w:left="900" w:hanging="180"/>
    </w:pPr>
  </w:style>
  <w:style w:type="paragraph" w:styleId="Index6">
    <w:name w:val="index 6"/>
    <w:basedOn w:val="Normal"/>
    <w:next w:val="Normal"/>
    <w:semiHidden/>
    <w:pPr>
      <w:ind w:left="1080" w:hanging="180"/>
    </w:pPr>
  </w:style>
  <w:style w:type="paragraph" w:styleId="Index7">
    <w:name w:val="index 7"/>
    <w:basedOn w:val="Normal"/>
    <w:next w:val="Normal"/>
    <w:semiHidden/>
    <w:pPr>
      <w:ind w:left="1260" w:hanging="180"/>
    </w:pPr>
  </w:style>
  <w:style w:type="paragraph" w:styleId="Index8">
    <w:name w:val="index 8"/>
    <w:basedOn w:val="Normal"/>
    <w:next w:val="Normal"/>
    <w:semiHidden/>
    <w:pPr>
      <w:ind w:left="1440" w:hanging="180"/>
    </w:pPr>
  </w:style>
  <w:style w:type="paragraph" w:styleId="Index9">
    <w:name w:val="index 9"/>
    <w:basedOn w:val="Normal"/>
    <w:next w:val="Normal"/>
    <w:semiHidden/>
    <w:pPr>
      <w:ind w:left="1620" w:hanging="180"/>
    </w:pPr>
  </w:style>
  <w:style w:type="paragraph" w:styleId="IndexHeading">
    <w:name w:val="index heading"/>
    <w:basedOn w:val="Normal"/>
    <w:next w:val="Index1"/>
    <w:semiHidden/>
    <w:rPr>
      <w:rFonts w:ascii="Arial" w:hAnsi="Arial" w:cs="Arial"/>
      <w:b/>
      <w:bCs/>
    </w:rPr>
  </w:style>
  <w:style w:type="character" w:styleId="LineNumber">
    <w:name w:val="line number"/>
    <w:basedOn w:val="DefaultParagraphFont"/>
    <w:semiHidden/>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semiHidden/>
    <w:pPr>
      <w:numPr>
        <w:numId w:val="17"/>
      </w:numPr>
    </w:pPr>
  </w:style>
  <w:style w:type="paragraph" w:styleId="ListBullet2">
    <w:name w:val="List Bullet 2"/>
    <w:basedOn w:val="Normal"/>
    <w:semiHidden/>
    <w:pPr>
      <w:numPr>
        <w:numId w:val="18"/>
      </w:numPr>
    </w:pPr>
  </w:style>
  <w:style w:type="paragraph" w:styleId="ListBullet3">
    <w:name w:val="List Bullet 3"/>
    <w:basedOn w:val="Normal"/>
    <w:semiHidden/>
    <w:pPr>
      <w:numPr>
        <w:numId w:val="19"/>
      </w:numPr>
    </w:pPr>
  </w:style>
  <w:style w:type="paragraph" w:styleId="ListBullet4">
    <w:name w:val="List Bullet 4"/>
    <w:basedOn w:val="Normal"/>
    <w:semiHidden/>
    <w:pPr>
      <w:numPr>
        <w:numId w:val="20"/>
      </w:numPr>
    </w:pPr>
  </w:style>
  <w:style w:type="paragraph" w:styleId="ListBullet5">
    <w:name w:val="List Bullet 5"/>
    <w:basedOn w:val="Normal"/>
    <w:semiHidden/>
    <w:pPr>
      <w:numPr>
        <w:numId w:val="21"/>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22"/>
      </w:numPr>
    </w:pPr>
  </w:style>
  <w:style w:type="paragraph" w:styleId="ListNumber2">
    <w:name w:val="List Number 2"/>
    <w:basedOn w:val="Normal"/>
    <w:semiHidden/>
    <w:pPr>
      <w:numPr>
        <w:numId w:val="23"/>
      </w:numPr>
    </w:pPr>
  </w:style>
  <w:style w:type="paragraph" w:styleId="ListNumber3">
    <w:name w:val="List Number 3"/>
    <w:basedOn w:val="Normal"/>
    <w:semiHidden/>
    <w:pPr>
      <w:numPr>
        <w:numId w:val="24"/>
      </w:numPr>
    </w:pPr>
  </w:style>
  <w:style w:type="paragraph" w:styleId="ListNumber4">
    <w:name w:val="List Number 4"/>
    <w:basedOn w:val="Normal"/>
    <w:semiHidden/>
    <w:pPr>
      <w:numPr>
        <w:numId w:val="25"/>
      </w:numPr>
    </w:pPr>
  </w:style>
  <w:style w:type="paragraph" w:styleId="ListNumber5">
    <w:name w:val="List Number 5"/>
    <w:basedOn w:val="Normal"/>
    <w:semiHidden/>
    <w:pPr>
      <w:numPr>
        <w:numId w:val="26"/>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zh-CN"/>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rPr>
      <w:rFonts w:ascii="Times New Roman" w:hAnsi="Times New Roman" w:cs="Times New Roman"/>
      <w:sz w:val="24"/>
      <w:szCs w:val="24"/>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PlainText">
    <w:name w:val="Plain Text"/>
    <w:basedOn w:val="Normal"/>
    <w:semiHidden/>
    <w:rPr>
      <w:rFonts w:ascii="Courier New" w:hAnsi="Courier New" w:cs="Courier New"/>
      <w:sz w:val="20"/>
      <w:szCs w:val="20"/>
    </w:rPr>
  </w:style>
  <w:style w:type="paragraph" w:styleId="Salutation">
    <w:name w:val="Salutation"/>
    <w:basedOn w:val="Normal"/>
    <w:next w:val="Normal"/>
    <w:semiHidden/>
  </w:style>
  <w:style w:type="paragraph" w:styleId="Signature">
    <w:name w:val="Signature"/>
    <w:basedOn w:val="Normal"/>
    <w:semiHidden/>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180" w:hanging="180"/>
    </w:pPr>
  </w:style>
  <w:style w:type="paragraph" w:styleId="TableofFigures">
    <w:name w:val="table of figures"/>
    <w:basedOn w:val="Normal"/>
    <w:next w:val="Normal"/>
    <w:semiHidden/>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character" w:customStyle="1" w:styleId="DocsubtitleAgencyChar">
    <w:name w:val="Doc subtitle (Agency) Char"/>
    <w:rPr>
      <w:rFonts w:ascii="Verdana" w:eastAsia="Verdana" w:hAnsi="Verdana" w:cs="Verdana"/>
      <w:sz w:val="24"/>
      <w:szCs w:val="24"/>
      <w:lang w:val="en-GB" w:eastAsia="en-GB" w:bidi="ar-SA"/>
    </w:rPr>
  </w:style>
  <w:style w:type="character" w:customStyle="1" w:styleId="BodytextAgencyChar">
    <w:name w:val="Body text (Agency) Char"/>
    <w:rPr>
      <w:rFonts w:ascii="Verdana" w:eastAsia="Verdana" w:hAnsi="Verdana" w:cs="Verdana"/>
      <w:sz w:val="18"/>
      <w:szCs w:val="18"/>
      <w:lang w:val="en-GB" w:eastAsia="en-GB" w:bidi="ar-SA"/>
    </w:rPr>
  </w:style>
  <w:style w:type="paragraph" w:customStyle="1" w:styleId="StyleTableheadingrowsAgencyNotBoldItalicSeaGreen">
    <w:name w:val="Style Table heading rows (Agency) + Not Bold Italic Sea Green"/>
    <w:basedOn w:val="TableheadingrowsAgency"/>
    <w:rPr>
      <w:b w:val="0"/>
      <w:i/>
      <w:iCs/>
      <w:color w:val="7BBBB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fr-BE" w:eastAsia="fr-B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hAnsi="Verdana" w:cs="Verdana"/>
      <w:sz w:val="18"/>
      <w:szCs w:val="18"/>
      <w:lang w:val="en-GB" w:eastAsia="zh-CN"/>
    </w:rPr>
  </w:style>
  <w:style w:type="paragraph" w:styleId="Heading1">
    <w:name w:val="heading 1"/>
    <w:basedOn w:val="No-numheading1Agency"/>
    <w:next w:val="BodytextAgency"/>
    <w:qFormat/>
    <w:rPr>
      <w:noProof/>
    </w:rPr>
  </w:style>
  <w:style w:type="paragraph" w:styleId="Heading2">
    <w:name w:val="heading 2"/>
    <w:basedOn w:val="No-numheading2Agency"/>
    <w:next w:val="BodytextAgency"/>
    <w:qFormat/>
  </w:style>
  <w:style w:type="paragraph" w:styleId="Heading3">
    <w:name w:val="heading 3"/>
    <w:basedOn w:val="No-numheading3Agency"/>
    <w:next w:val="BodytextAgency"/>
    <w:qFormat/>
  </w:style>
  <w:style w:type="paragraph" w:styleId="Heading4">
    <w:name w:val="heading 4"/>
    <w:basedOn w:val="No-numheading4Agency"/>
    <w:next w:val="BodytextAgency"/>
    <w:qFormat/>
  </w:style>
  <w:style w:type="paragraph" w:styleId="Heading5">
    <w:name w:val="heading 5"/>
    <w:basedOn w:val="Normal"/>
    <w:next w:val="Normal"/>
    <w:qFormat/>
    <w:pPr>
      <w:keepNext/>
      <w:spacing w:before="280" w:after="220"/>
      <w:outlineLvl w:val="4"/>
    </w:pPr>
    <w:rPr>
      <w:rFonts w:eastAsia="Verdana" w:cs="Arial"/>
      <w:b/>
      <w:bCs/>
      <w:i/>
      <w:kern w:val="32"/>
      <w:lang w:eastAsia="en-GB"/>
    </w:rPr>
  </w:style>
  <w:style w:type="paragraph" w:styleId="Heading6">
    <w:name w:val="heading 6"/>
    <w:basedOn w:val="No-numheading6Agency"/>
    <w:next w:val="BodytextAgency"/>
    <w:qFormat/>
  </w:style>
  <w:style w:type="paragraph" w:styleId="Heading7">
    <w:name w:val="heading 7"/>
    <w:basedOn w:val="No-numheading7Agency"/>
    <w:next w:val="BodytextAgency"/>
    <w:qFormat/>
  </w:style>
  <w:style w:type="paragraph" w:styleId="Heading8">
    <w:name w:val="heading 8"/>
    <w:basedOn w:val="No-numheading8Agency"/>
    <w:next w:val="BodytextAgency"/>
    <w:qFormat/>
  </w:style>
  <w:style w:type="paragraph" w:styleId="Heading9">
    <w:name w:val="heading 9"/>
    <w:basedOn w:val="No-numheading9Agency"/>
    <w:next w:val="BodytextAgency"/>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numheading1Agency">
    <w:name w:val="No-num heading 1 (Agency)"/>
    <w:basedOn w:val="Normal"/>
    <w:next w:val="BodytextAgency"/>
    <w:pPr>
      <w:keepNext/>
      <w:spacing w:before="280" w:after="220"/>
      <w:outlineLvl w:val="0"/>
    </w:pPr>
    <w:rPr>
      <w:rFonts w:eastAsia="Verdana" w:cs="Arial"/>
      <w:b/>
      <w:bCs/>
      <w:kern w:val="32"/>
      <w:sz w:val="27"/>
      <w:szCs w:val="27"/>
      <w:lang w:eastAsia="en-GB"/>
    </w:rPr>
  </w:style>
  <w:style w:type="paragraph" w:customStyle="1" w:styleId="BodytextAgency">
    <w:name w:val="Body text (Agency)"/>
    <w:basedOn w:val="Normal"/>
    <w:pPr>
      <w:spacing w:after="140" w:line="280" w:lineRule="atLeast"/>
    </w:pPr>
    <w:rPr>
      <w:rFonts w:eastAsia="Verdana"/>
      <w:lang w:eastAsia="en-GB"/>
    </w:rPr>
  </w:style>
  <w:style w:type="paragraph" w:customStyle="1" w:styleId="No-numheading2Agency">
    <w:name w:val="No-num heading 2 (Agency)"/>
    <w:basedOn w:val="Normal"/>
    <w:next w:val="BodytextAgency"/>
    <w:pPr>
      <w:keepNext/>
      <w:spacing w:before="280" w:after="220"/>
      <w:outlineLvl w:val="1"/>
    </w:pPr>
    <w:rPr>
      <w:rFonts w:eastAsia="Verdana" w:cs="Arial"/>
      <w:b/>
      <w:bCs/>
      <w:i/>
      <w:kern w:val="32"/>
      <w:sz w:val="22"/>
      <w:szCs w:val="22"/>
      <w:lang w:eastAsia="en-GB"/>
    </w:rPr>
  </w:style>
  <w:style w:type="paragraph" w:customStyle="1" w:styleId="No-numheading3Agency">
    <w:name w:val="No-num heading 3 (Agency)"/>
    <w:basedOn w:val="Heading3Agency"/>
    <w:next w:val="BodytextAgency"/>
    <w:pPr>
      <w:numPr>
        <w:ilvl w:val="0"/>
        <w:numId w:val="0"/>
      </w:numPr>
    </w:pPr>
  </w:style>
  <w:style w:type="paragraph" w:customStyle="1" w:styleId="Heading3Agency">
    <w:name w:val="Heading 3 (Agency)"/>
    <w:basedOn w:val="Normal"/>
    <w:next w:val="BodytextAgency"/>
    <w:pPr>
      <w:keepNext/>
      <w:numPr>
        <w:ilvl w:val="2"/>
        <w:numId w:val="37"/>
      </w:numPr>
      <w:spacing w:before="280" w:after="220"/>
      <w:outlineLvl w:val="2"/>
    </w:pPr>
    <w:rPr>
      <w:rFonts w:eastAsia="Verdana" w:cs="Arial"/>
      <w:b/>
      <w:bCs/>
      <w:kern w:val="32"/>
      <w:sz w:val="22"/>
      <w:szCs w:val="22"/>
      <w:lang w:eastAsia="en-GB"/>
    </w:rPr>
  </w:style>
  <w:style w:type="paragraph" w:customStyle="1" w:styleId="No-numheading4Agency">
    <w:name w:val="No-num heading 4 (Agency)"/>
    <w:basedOn w:val="Heading4Agency"/>
    <w:next w:val="BodytextAgency"/>
    <w:semiHidden/>
    <w:pPr>
      <w:numPr>
        <w:ilvl w:val="0"/>
        <w:numId w:val="0"/>
      </w:numPr>
    </w:pPr>
  </w:style>
  <w:style w:type="paragraph" w:customStyle="1" w:styleId="Heading4Agency">
    <w:name w:val="Heading 4 (Agency)"/>
    <w:basedOn w:val="Heading3Agency"/>
    <w:next w:val="BodytextAgency"/>
    <w:semiHidden/>
    <w:pPr>
      <w:numPr>
        <w:ilvl w:val="3"/>
      </w:numPr>
      <w:outlineLvl w:val="3"/>
    </w:pPr>
    <w:rPr>
      <w:i/>
      <w:sz w:val="18"/>
      <w:szCs w:val="18"/>
    </w:rPr>
  </w:style>
  <w:style w:type="paragraph" w:customStyle="1" w:styleId="No-numheading6Agency">
    <w:name w:val="No-num heading 6 (Agency)"/>
    <w:basedOn w:val="No-numheading5Agency"/>
    <w:next w:val="BodytextAgency"/>
    <w:semiHidden/>
    <w:pPr>
      <w:outlineLvl w:val="5"/>
    </w:pPr>
  </w:style>
  <w:style w:type="paragraph" w:customStyle="1" w:styleId="No-numheading5Agency">
    <w:name w:val="No-num heading 5 (Agency)"/>
    <w:basedOn w:val="Heading5Agency"/>
    <w:next w:val="BodytextAgency"/>
    <w:semiHidden/>
    <w:pPr>
      <w:numPr>
        <w:ilvl w:val="0"/>
        <w:numId w:val="0"/>
      </w:numPr>
    </w:pPr>
  </w:style>
  <w:style w:type="paragraph" w:customStyle="1" w:styleId="Heading5Agency">
    <w:name w:val="Heading 5 (Agency)"/>
    <w:basedOn w:val="Heading4Agency"/>
    <w:next w:val="BodytextAgency"/>
    <w:semiHidden/>
    <w:pPr>
      <w:numPr>
        <w:ilvl w:val="4"/>
      </w:numPr>
      <w:outlineLvl w:val="4"/>
    </w:pPr>
    <w:rPr>
      <w:i w:val="0"/>
    </w:rPr>
  </w:style>
  <w:style w:type="paragraph" w:customStyle="1" w:styleId="No-numheading7Agency">
    <w:name w:val="No-num heading 7 (Agency)"/>
    <w:basedOn w:val="No-numheading6Agency"/>
    <w:next w:val="BodytextAgency"/>
    <w:semiHidden/>
    <w:pPr>
      <w:outlineLvl w:val="6"/>
    </w:pPr>
  </w:style>
  <w:style w:type="paragraph" w:customStyle="1" w:styleId="No-numheading8Agency">
    <w:name w:val="No-num heading 8 (Agency)"/>
    <w:basedOn w:val="No-numheading7Agency"/>
    <w:next w:val="BodytextAgency"/>
    <w:semiHidden/>
    <w:pPr>
      <w:outlineLvl w:val="7"/>
    </w:pPr>
  </w:style>
  <w:style w:type="paragraph" w:customStyle="1" w:styleId="No-numheading9Agency">
    <w:name w:val="No-num heading 9 (Agency)"/>
    <w:basedOn w:val="No-numheading8Agency"/>
    <w:next w:val="BodytextAgency"/>
    <w:semiHidden/>
    <w:pPr>
      <w:outlineLvl w:val="8"/>
    </w:pPr>
  </w:style>
  <w:style w:type="paragraph" w:styleId="Footer">
    <w:name w:val="footer"/>
    <w:basedOn w:val="Normal"/>
    <w:semiHidden/>
    <w:pPr>
      <w:tabs>
        <w:tab w:val="center" w:pos="4536"/>
        <w:tab w:val="right" w:pos="8306"/>
      </w:tabs>
    </w:pPr>
    <w:rPr>
      <w:rFonts w:ascii="Arial" w:eastAsia="Times New Roman" w:hAnsi="Arial"/>
      <w:noProof/>
      <w:sz w:val="16"/>
      <w:szCs w:val="20"/>
      <w:lang w:eastAsia="en-US"/>
    </w:rPr>
  </w:style>
  <w:style w:type="paragraph" w:styleId="Header">
    <w:name w:val="header"/>
    <w:basedOn w:val="Normal"/>
    <w:semiHidden/>
    <w:pPr>
      <w:tabs>
        <w:tab w:val="center" w:pos="4153"/>
        <w:tab w:val="right" w:pos="8306"/>
      </w:tabs>
    </w:pPr>
    <w:rPr>
      <w:rFonts w:ascii="Arial" w:eastAsia="Times New Roman" w:hAnsi="Arial"/>
      <w:sz w:val="20"/>
      <w:szCs w:val="20"/>
      <w:lang w:eastAsia="en-US"/>
    </w:rPr>
  </w:style>
  <w:style w:type="character" w:styleId="PageNumber">
    <w:name w:val="page number"/>
    <w:basedOn w:val="DefaultParagraphFont"/>
    <w:semiHidden/>
  </w:style>
  <w:style w:type="paragraph" w:customStyle="1" w:styleId="FooterAgency">
    <w:name w:val="Footer (Agency)"/>
    <w:basedOn w:val="Normal"/>
    <w:semiHidden/>
    <w:rPr>
      <w:rFonts w:eastAsia="Verdana"/>
      <w:color w:val="6D6F71"/>
      <w:sz w:val="14"/>
      <w:szCs w:val="14"/>
      <w:lang w:eastAsia="en-GB"/>
    </w:rPr>
  </w:style>
  <w:style w:type="paragraph" w:customStyle="1" w:styleId="FooterblueAgency">
    <w:name w:val="Footer blue (Agency)"/>
    <w:basedOn w:val="Normal"/>
    <w:semiHidden/>
    <w:rPr>
      <w:rFonts w:eastAsia="Verdana"/>
      <w:b/>
      <w:color w:val="003399"/>
      <w:sz w:val="13"/>
      <w:szCs w:val="14"/>
      <w:lang w:eastAsia="en-GB"/>
    </w:rPr>
  </w:style>
  <w:style w:type="character" w:customStyle="1" w:styleId="FooterAgencyCharChar">
    <w:name w:val="Footer (Agency) Char Char"/>
    <w:semiHidden/>
    <w:rPr>
      <w:rFonts w:ascii="Verdana" w:eastAsia="Verdana" w:hAnsi="Verdana" w:cs="Verdana"/>
      <w:color w:val="6D6F71"/>
      <w:sz w:val="14"/>
      <w:szCs w:val="14"/>
      <w:lang w:val="en-GB" w:eastAsia="en-GB" w:bidi="ar-SA"/>
    </w:rPr>
  </w:style>
  <w:style w:type="paragraph" w:customStyle="1" w:styleId="PagenumberAgency">
    <w:name w:val="Page number (Agency)"/>
    <w:basedOn w:val="Normal"/>
    <w:next w:val="Normal"/>
    <w:semiHidden/>
    <w:pPr>
      <w:tabs>
        <w:tab w:val="right" w:pos="9781"/>
      </w:tabs>
      <w:jc w:val="right"/>
    </w:pPr>
    <w:rPr>
      <w:rFonts w:eastAsia="Verdana"/>
      <w:color w:val="6D6F71"/>
      <w:sz w:val="14"/>
      <w:szCs w:val="14"/>
      <w:lang w:eastAsia="en-GB"/>
    </w:rPr>
  </w:style>
  <w:style w:type="character" w:customStyle="1" w:styleId="PagenumberAgencyCharChar">
    <w:name w:val="Page number (Agency) Char Char"/>
    <w:basedOn w:val="FooterAgencyCharChar"/>
    <w:rPr>
      <w:rFonts w:ascii="Verdana" w:eastAsia="Verdana" w:hAnsi="Verdana" w:cs="Verdana"/>
      <w:color w:val="6D6F71"/>
      <w:sz w:val="14"/>
      <w:szCs w:val="14"/>
      <w:lang w:val="en-GB" w:eastAsia="en-GB" w:bidi="ar-SA"/>
    </w:rPr>
  </w:style>
  <w:style w:type="character" w:customStyle="1" w:styleId="FooterblueAgencyCharChar">
    <w:name w:val="Footer blue (Agency) Char Char"/>
    <w:semiHidden/>
    <w:rPr>
      <w:rFonts w:ascii="Verdana" w:eastAsia="Verdana" w:hAnsi="Verdana" w:cs="Verdana"/>
      <w:b/>
      <w:color w:val="003399"/>
      <w:sz w:val="13"/>
      <w:szCs w:val="14"/>
      <w:lang w:val="en-GB" w:eastAsia="en-GB" w:bidi="ar-SA"/>
    </w:rPr>
  </w:style>
  <w:style w:type="paragraph" w:styleId="BodyText">
    <w:name w:val="Body Text"/>
    <w:basedOn w:val="Normal"/>
    <w:semiHidden/>
    <w:pPr>
      <w:spacing w:after="140" w:line="280" w:lineRule="atLeast"/>
    </w:pPr>
  </w:style>
  <w:style w:type="paragraph" w:customStyle="1" w:styleId="DisclaimerAgency">
    <w:name w:val="Disclaimer (Agency)"/>
    <w:basedOn w:val="Normal"/>
    <w:semiHidden/>
    <w:pPr>
      <w:tabs>
        <w:tab w:val="center" w:pos="4320"/>
        <w:tab w:val="right" w:pos="8640"/>
      </w:tabs>
      <w:spacing w:after="57" w:line="150" w:lineRule="exact"/>
    </w:pPr>
    <w:rPr>
      <w:rFonts w:eastAsia="Verdana"/>
      <w:snapToGrid w:val="0"/>
      <w:color w:val="6D6F71"/>
      <w:sz w:val="13"/>
      <w:szCs w:val="13"/>
      <w:lang w:eastAsia="en-GB"/>
    </w:rPr>
  </w:style>
  <w:style w:type="paragraph" w:customStyle="1" w:styleId="DocsubtitleAgency">
    <w:name w:val="Doc subtitle (Agency)"/>
    <w:basedOn w:val="Normal"/>
    <w:next w:val="BodytextAgency"/>
    <w:pPr>
      <w:spacing w:after="640" w:line="360" w:lineRule="atLeast"/>
    </w:pPr>
    <w:rPr>
      <w:rFonts w:eastAsia="Verdana"/>
      <w:sz w:val="24"/>
      <w:szCs w:val="24"/>
      <w:lang w:eastAsia="en-GB"/>
    </w:rPr>
  </w:style>
  <w:style w:type="paragraph" w:customStyle="1" w:styleId="DoctitleAgency">
    <w:name w:val="Doc title (Agency)"/>
    <w:basedOn w:val="Normal"/>
    <w:next w:val="DocsubtitleAgency"/>
    <w:pPr>
      <w:spacing w:before="720" w:line="360" w:lineRule="atLeast"/>
    </w:pPr>
    <w:rPr>
      <w:rFonts w:eastAsia="Verdana"/>
      <w:color w:val="003399"/>
      <w:sz w:val="32"/>
      <w:szCs w:val="32"/>
      <w:lang w:eastAsia="en-GB"/>
    </w:rPr>
  </w:style>
  <w:style w:type="paragraph" w:customStyle="1" w:styleId="DraftingNotesAgency">
    <w:name w:val="Drafting Notes (Agency)"/>
    <w:basedOn w:val="Normal"/>
    <w:next w:val="BodytextAgency"/>
    <w:pPr>
      <w:spacing w:after="140" w:line="280" w:lineRule="atLeast"/>
    </w:pPr>
    <w:rPr>
      <w:rFonts w:ascii="Courier New" w:eastAsia="Verdana" w:hAnsi="Courier New" w:cs="Times New Roman"/>
      <w:i/>
      <w:color w:val="339966"/>
      <w:sz w:val="22"/>
      <w:lang w:eastAsia="en-GB"/>
    </w:rPr>
  </w:style>
  <w:style w:type="character" w:styleId="EndnoteReference">
    <w:name w:val="endnote reference"/>
    <w:semiHidden/>
    <w:rPr>
      <w:rFonts w:ascii="Verdana" w:hAnsi="Verdana"/>
      <w:vertAlign w:val="superscript"/>
    </w:rPr>
  </w:style>
  <w:style w:type="character" w:customStyle="1" w:styleId="EndnotereferenceAgency">
    <w:name w:val="Endnote reference (Agency)"/>
    <w:semiHidden/>
    <w:rPr>
      <w:rFonts w:ascii="Verdana" w:hAnsi="Verdana"/>
      <w:vertAlign w:val="superscript"/>
    </w:rPr>
  </w:style>
  <w:style w:type="paragraph" w:styleId="EndnoteText">
    <w:name w:val="endnote text"/>
    <w:basedOn w:val="Normal"/>
    <w:semiHidden/>
    <w:rPr>
      <w:rFonts w:eastAsia="Verdana"/>
      <w:sz w:val="15"/>
      <w:szCs w:val="15"/>
      <w:lang w:eastAsia="en-GB"/>
    </w:rPr>
  </w:style>
  <w:style w:type="paragraph" w:customStyle="1" w:styleId="EndnotetextAgency">
    <w:name w:val="Endnote text (Agency)"/>
    <w:basedOn w:val="Normal"/>
    <w:semiHidden/>
    <w:rPr>
      <w:rFonts w:eastAsia="Verdana"/>
      <w:sz w:val="15"/>
      <w:lang w:eastAsia="en-GB"/>
    </w:rPr>
  </w:style>
  <w:style w:type="paragraph" w:customStyle="1" w:styleId="FigureAgency">
    <w:name w:val="Figure (Agency)"/>
    <w:basedOn w:val="Normal"/>
    <w:next w:val="BodytextAgency"/>
    <w:semiHidden/>
    <w:pPr>
      <w:jc w:val="center"/>
    </w:pPr>
  </w:style>
  <w:style w:type="paragraph" w:customStyle="1" w:styleId="FigureheadingAgency">
    <w:name w:val="Figure heading (Agency)"/>
    <w:basedOn w:val="Normal"/>
    <w:next w:val="FigureAgency"/>
    <w:semiHidden/>
    <w:pPr>
      <w:keepNext/>
      <w:numPr>
        <w:numId w:val="28"/>
      </w:numPr>
      <w:spacing w:before="240" w:after="120"/>
    </w:pPr>
  </w:style>
  <w:style w:type="character" w:styleId="FootnoteReference">
    <w:name w:val="footnote reference"/>
    <w:semiHidden/>
    <w:rPr>
      <w:rFonts w:ascii="Verdana" w:hAnsi="Verdana"/>
      <w:vertAlign w:val="superscript"/>
    </w:rPr>
  </w:style>
  <w:style w:type="character" w:customStyle="1" w:styleId="FootnotereferenceAgency">
    <w:name w:val="Footnote reference (Agency)"/>
    <w:semiHidden/>
    <w:rPr>
      <w:rFonts w:ascii="Verdana" w:hAnsi="Verdana"/>
      <w:color w:val="auto"/>
      <w:vertAlign w:val="superscript"/>
    </w:rPr>
  </w:style>
  <w:style w:type="paragraph" w:styleId="FootnoteText">
    <w:name w:val="footnote text"/>
    <w:basedOn w:val="Normal"/>
    <w:semiHidden/>
    <w:rPr>
      <w:rFonts w:eastAsia="Verdana"/>
      <w:sz w:val="15"/>
      <w:szCs w:val="20"/>
      <w:lang w:eastAsia="en-GB"/>
    </w:rPr>
  </w:style>
  <w:style w:type="paragraph" w:customStyle="1" w:styleId="FootnotetextAgency">
    <w:name w:val="Footnote text (Agency)"/>
    <w:basedOn w:val="Normal"/>
    <w:semiHidden/>
    <w:rPr>
      <w:rFonts w:eastAsia="Verdana"/>
      <w:sz w:val="15"/>
      <w:lang w:eastAsia="en-GB"/>
    </w:rPr>
  </w:style>
  <w:style w:type="paragraph" w:customStyle="1" w:styleId="HeaderAgency">
    <w:name w:val="Header (Agency)"/>
    <w:basedOn w:val="Normal"/>
    <w:semiHidden/>
    <w:rPr>
      <w:rFonts w:eastAsia="Verdana"/>
      <w:lang w:eastAsia="en-GB"/>
    </w:rPr>
  </w:style>
  <w:style w:type="paragraph" w:customStyle="1" w:styleId="Heading1Agency">
    <w:name w:val="Heading 1 (Agency)"/>
    <w:basedOn w:val="Normal"/>
    <w:next w:val="BodytextAgency"/>
    <w:pPr>
      <w:keepNext/>
      <w:numPr>
        <w:numId w:val="37"/>
      </w:numPr>
      <w:spacing w:before="280" w:after="220"/>
      <w:outlineLvl w:val="0"/>
    </w:pPr>
    <w:rPr>
      <w:rFonts w:eastAsia="Verdana" w:cs="Arial"/>
      <w:b/>
      <w:bCs/>
      <w:kern w:val="32"/>
      <w:sz w:val="27"/>
      <w:szCs w:val="27"/>
      <w:lang w:eastAsia="en-GB"/>
    </w:rPr>
  </w:style>
  <w:style w:type="paragraph" w:customStyle="1" w:styleId="Heading2Agency">
    <w:name w:val="Heading 2 (Agency)"/>
    <w:basedOn w:val="Normal"/>
    <w:next w:val="BodytextAgency"/>
    <w:pPr>
      <w:keepNext/>
      <w:numPr>
        <w:ilvl w:val="1"/>
        <w:numId w:val="37"/>
      </w:numPr>
      <w:spacing w:before="280" w:after="220"/>
      <w:outlineLvl w:val="1"/>
    </w:pPr>
    <w:rPr>
      <w:rFonts w:eastAsia="Verdana" w:cs="Arial"/>
      <w:b/>
      <w:bCs/>
      <w:i/>
      <w:kern w:val="32"/>
      <w:sz w:val="22"/>
      <w:szCs w:val="22"/>
      <w:lang w:eastAsia="en-GB"/>
    </w:rPr>
  </w:style>
  <w:style w:type="paragraph" w:customStyle="1" w:styleId="Heading6Agency">
    <w:name w:val="Heading 6 (Agency)"/>
    <w:basedOn w:val="Heading5Agency"/>
    <w:next w:val="BodytextAgency"/>
    <w:semiHidden/>
    <w:pPr>
      <w:numPr>
        <w:ilvl w:val="5"/>
      </w:numPr>
      <w:outlineLvl w:val="5"/>
    </w:pPr>
  </w:style>
  <w:style w:type="paragraph" w:customStyle="1" w:styleId="Heading7Agency">
    <w:name w:val="Heading 7 (Agency)"/>
    <w:basedOn w:val="Heading6Agency"/>
    <w:next w:val="BodytextAgency"/>
    <w:semiHidden/>
    <w:pPr>
      <w:numPr>
        <w:ilvl w:val="6"/>
      </w:numPr>
      <w:outlineLvl w:val="6"/>
    </w:pPr>
  </w:style>
  <w:style w:type="paragraph" w:customStyle="1" w:styleId="Heading8Agency">
    <w:name w:val="Heading 8 (Agency)"/>
    <w:basedOn w:val="Heading7Agency"/>
    <w:next w:val="BodytextAgency"/>
    <w:semiHidden/>
    <w:pPr>
      <w:numPr>
        <w:ilvl w:val="7"/>
      </w:numPr>
      <w:outlineLvl w:val="7"/>
    </w:pPr>
  </w:style>
  <w:style w:type="paragraph" w:customStyle="1" w:styleId="Heading9Agency">
    <w:name w:val="Heading 9 (Agency)"/>
    <w:basedOn w:val="Heading8Agency"/>
    <w:next w:val="BodytextAgency"/>
    <w:semiHidden/>
    <w:pPr>
      <w:numPr>
        <w:ilvl w:val="8"/>
      </w:numPr>
      <w:outlineLvl w:val="8"/>
    </w:pPr>
  </w:style>
  <w:style w:type="paragraph" w:customStyle="1" w:styleId="NormalAgency">
    <w:name w:val="Normal (Agency)"/>
    <w:rPr>
      <w:rFonts w:ascii="Verdana" w:eastAsia="Verdana" w:hAnsi="Verdana" w:cs="Verdana"/>
      <w:sz w:val="18"/>
      <w:szCs w:val="18"/>
      <w:lang w:val="en-GB" w:eastAsia="en-GB"/>
    </w:rPr>
  </w:style>
  <w:style w:type="paragraph" w:customStyle="1" w:styleId="No-TOCheadingAgency">
    <w:name w:val="No-TOC heading (Agency)"/>
    <w:basedOn w:val="Normal"/>
    <w:next w:val="Normal"/>
    <w:pPr>
      <w:keepNext/>
      <w:spacing w:before="280" w:after="220"/>
    </w:pPr>
    <w:rPr>
      <w:rFonts w:eastAsia="Times New Roman" w:cs="Arial"/>
      <w:b/>
      <w:kern w:val="32"/>
      <w:sz w:val="27"/>
      <w:szCs w:val="27"/>
      <w:lang w:eastAsia="en-GB"/>
    </w:rPr>
  </w:style>
  <w:style w:type="paragraph" w:customStyle="1" w:styleId="RefAgency">
    <w:name w:val="Ref. (Agency)"/>
    <w:basedOn w:val="Normal"/>
    <w:semiHidden/>
    <w:rPr>
      <w:rFonts w:eastAsia="Times New Roman" w:cs="Times New Roman"/>
      <w:sz w:val="17"/>
      <w:lang w:eastAsia="en-GB"/>
    </w:rPr>
  </w:style>
  <w:style w:type="paragraph" w:customStyle="1" w:styleId="TablefirstrowAgency">
    <w:name w:val="Table first row (Agency)"/>
    <w:basedOn w:val="BodytextAgency"/>
    <w:semiHidden/>
    <w:pPr>
      <w:keepNext/>
    </w:pPr>
    <w:rPr>
      <w:rFonts w:eastAsia="Times New Roman"/>
      <w:b/>
    </w:rPr>
  </w:style>
  <w:style w:type="paragraph" w:customStyle="1" w:styleId="TableheadingAgency">
    <w:name w:val="Table heading (Agency)"/>
    <w:basedOn w:val="Normal"/>
    <w:next w:val="BodytextAgency"/>
    <w:semiHidden/>
    <w:pPr>
      <w:keepNext/>
      <w:numPr>
        <w:numId w:val="39"/>
      </w:numPr>
      <w:spacing w:before="240" w:after="120"/>
    </w:pPr>
  </w:style>
  <w:style w:type="paragraph" w:customStyle="1" w:styleId="TableheadingrowsAgency">
    <w:name w:val="Table heading rows (Agency)"/>
    <w:basedOn w:val="BodytextAgency"/>
    <w:semiHidden/>
    <w:pPr>
      <w:keepNext/>
    </w:pPr>
    <w:rPr>
      <w:rFonts w:eastAsia="Times New Roman"/>
      <w:b/>
    </w:rPr>
  </w:style>
  <w:style w:type="paragraph" w:customStyle="1" w:styleId="TabletextrowsAgency">
    <w:name w:val="Table text rows (Agency)"/>
    <w:basedOn w:val="Normal"/>
    <w:pPr>
      <w:spacing w:line="280" w:lineRule="exact"/>
    </w:pPr>
    <w:rPr>
      <w:rFonts w:eastAsia="Times New Roman"/>
    </w:rPr>
  </w:style>
  <w:style w:type="paragraph" w:customStyle="1" w:styleId="TableFigurenoteAgency">
    <w:name w:val="Table/Figure note (Agency)"/>
    <w:basedOn w:val="BodytextAgency"/>
    <w:next w:val="BodytextAgency"/>
    <w:pPr>
      <w:spacing w:before="60" w:after="240" w:line="240" w:lineRule="auto"/>
    </w:pPr>
    <w:rPr>
      <w:sz w:val="16"/>
      <w:szCs w:val="16"/>
    </w:rPr>
  </w:style>
  <w:style w:type="paragraph" w:styleId="TOC1">
    <w:name w:val="toc 1"/>
    <w:basedOn w:val="Normal"/>
    <w:next w:val="BodytextAgency"/>
    <w:semiHidden/>
    <w:pPr>
      <w:keepNext/>
      <w:tabs>
        <w:tab w:val="right" w:leader="dot" w:pos="9401"/>
      </w:tabs>
      <w:spacing w:before="140" w:after="57" w:line="240" w:lineRule="atLeast"/>
    </w:pPr>
    <w:rPr>
      <w:rFonts w:eastAsia="Verdana"/>
      <w:b/>
      <w:noProof/>
      <w:sz w:val="22"/>
      <w:szCs w:val="22"/>
      <w:lang w:eastAsia="en-GB"/>
    </w:rPr>
  </w:style>
  <w:style w:type="paragraph" w:styleId="TOC2">
    <w:name w:val="toc 2"/>
    <w:basedOn w:val="Normal"/>
    <w:next w:val="BodytextAgency"/>
    <w:semiHidden/>
    <w:pPr>
      <w:tabs>
        <w:tab w:val="right" w:leader="dot" w:pos="9401"/>
      </w:tabs>
      <w:spacing w:after="57" w:line="240" w:lineRule="atLeast"/>
    </w:pPr>
    <w:rPr>
      <w:rFonts w:eastAsia="Verdana"/>
      <w:noProof/>
      <w:sz w:val="20"/>
      <w:lang w:eastAsia="en-GB"/>
    </w:rPr>
  </w:style>
  <w:style w:type="paragraph" w:styleId="TOC3">
    <w:name w:val="toc 3"/>
    <w:basedOn w:val="Normal"/>
    <w:next w:val="BodytextAgency"/>
    <w:semiHidden/>
    <w:pPr>
      <w:tabs>
        <w:tab w:val="right" w:leader="dot" w:pos="9401"/>
      </w:tabs>
      <w:spacing w:after="57" w:line="240" w:lineRule="atLeast"/>
    </w:pPr>
    <w:rPr>
      <w:rFonts w:eastAsia="Verdana"/>
      <w:noProof/>
      <w:sz w:val="20"/>
      <w:lang w:eastAsia="en-GB"/>
    </w:rPr>
  </w:style>
  <w:style w:type="paragraph" w:styleId="TOC4">
    <w:name w:val="toc 4"/>
    <w:basedOn w:val="Normal"/>
    <w:next w:val="BodytextAgency"/>
    <w:semiHidden/>
    <w:pPr>
      <w:tabs>
        <w:tab w:val="right" w:leader="dot" w:pos="9401"/>
      </w:tabs>
      <w:spacing w:after="57" w:line="240" w:lineRule="atLeast"/>
    </w:pPr>
    <w:rPr>
      <w:noProof/>
      <w:sz w:val="20"/>
    </w:rPr>
  </w:style>
  <w:style w:type="paragraph" w:styleId="TOC5">
    <w:name w:val="toc 5"/>
    <w:basedOn w:val="Normal"/>
    <w:next w:val="BodytextAgency"/>
    <w:semiHidden/>
    <w:pPr>
      <w:tabs>
        <w:tab w:val="right" w:leader="dot" w:pos="9401"/>
      </w:tabs>
      <w:spacing w:after="57" w:line="240" w:lineRule="atLeast"/>
    </w:pPr>
    <w:rPr>
      <w:noProof/>
      <w:sz w:val="20"/>
    </w:rPr>
  </w:style>
  <w:style w:type="paragraph" w:styleId="TOC6">
    <w:name w:val="toc 6"/>
    <w:basedOn w:val="Normal"/>
    <w:next w:val="BodytextAgency"/>
    <w:autoRedefine/>
    <w:semiHidden/>
    <w:pPr>
      <w:spacing w:after="57" w:line="240" w:lineRule="exact"/>
    </w:pPr>
    <w:rPr>
      <w:rFonts w:eastAsia="Times New Roman"/>
    </w:rPr>
  </w:style>
  <w:style w:type="paragraph" w:styleId="TOC7">
    <w:name w:val="toc 7"/>
    <w:basedOn w:val="Normal"/>
    <w:next w:val="BodytextAgency"/>
    <w:semiHidden/>
    <w:pPr>
      <w:spacing w:after="57" w:line="240" w:lineRule="exact"/>
    </w:pPr>
    <w:rPr>
      <w:rFonts w:eastAsia="Times New Roman"/>
    </w:rPr>
  </w:style>
  <w:style w:type="paragraph" w:styleId="TOC8">
    <w:name w:val="toc 8"/>
    <w:basedOn w:val="Normal"/>
    <w:next w:val="BodytextAgency"/>
    <w:semiHidden/>
    <w:pPr>
      <w:spacing w:after="57" w:line="240" w:lineRule="exact"/>
    </w:pPr>
    <w:rPr>
      <w:rFonts w:eastAsia="Times New Roman"/>
    </w:rPr>
  </w:style>
  <w:style w:type="paragraph" w:styleId="TOC9">
    <w:name w:val="toc 9"/>
    <w:basedOn w:val="Normal"/>
    <w:next w:val="BodytextAgency"/>
    <w:semiHidden/>
    <w:pPr>
      <w:spacing w:after="57" w:line="240" w:lineRule="exact"/>
    </w:pPr>
    <w:rPr>
      <w:rFonts w:eastAsia="Times New Roman"/>
    </w:rPr>
  </w:style>
  <w:style w:type="paragraph" w:styleId="BalloonText">
    <w:name w:val="Balloon Text"/>
    <w:basedOn w:val="Normal"/>
    <w:semiHidden/>
    <w:rPr>
      <w:rFonts w:ascii="Tahoma" w:hAnsi="Tahoma" w:cs="Tahoma"/>
      <w:sz w:val="16"/>
      <w:szCs w:val="16"/>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BodyTextFirstIndent">
    <w:name w:val="Body Text First Indent"/>
    <w:basedOn w:val="BodyText"/>
    <w:semiHidden/>
    <w:pPr>
      <w:spacing w:after="120" w:line="240" w:lineRule="auto"/>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6"/>
      <w:szCs w:val="16"/>
    </w:rPr>
  </w:style>
  <w:style w:type="paragraph" w:styleId="Caption">
    <w:name w:val="caption"/>
    <w:basedOn w:val="Normal"/>
    <w:next w:val="Normal"/>
    <w:qFormat/>
    <w:rPr>
      <w:b/>
      <w:bCs/>
      <w:sz w:val="20"/>
      <w:szCs w:val="20"/>
    </w:rPr>
  </w:style>
  <w:style w:type="paragraph" w:styleId="Closing">
    <w:name w:val="Closing"/>
    <w:basedOn w:val="Normal"/>
    <w:semiHidden/>
    <w:pPr>
      <w:ind w:left="4252"/>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emiHidden/>
  </w:style>
  <w:style w:type="paragraph" w:styleId="DocumentMap">
    <w:name w:val="Document Map"/>
    <w:basedOn w:val="Normal"/>
    <w:semiHidden/>
    <w:pPr>
      <w:shd w:val="clear" w:color="auto" w:fill="000080"/>
    </w:pPr>
    <w:rPr>
      <w:rFonts w:ascii="Tahoma" w:hAnsi="Tahoma" w:cs="Tahoma"/>
      <w:sz w:val="20"/>
      <w:szCs w:val="20"/>
    </w:rPr>
  </w:style>
  <w:style w:type="paragraph" w:styleId="E-mailSignature">
    <w:name w:val="E-mail Signature"/>
    <w:basedOn w:val="Normal"/>
    <w:semiHidden/>
  </w:style>
  <w:style w:type="character" w:styleId="Emphasis">
    <w:name w:val="Emphasis"/>
    <w:qFormat/>
    <w:rPr>
      <w:i/>
      <w:iCs/>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Pr>
      <w:rFonts w:ascii="Arial" w:hAnsi="Arial" w:cs="Arial"/>
      <w:sz w:val="20"/>
      <w:szCs w:val="20"/>
    </w:rPr>
  </w:style>
  <w:style w:type="character" w:styleId="FollowedHyperlink">
    <w:name w:val="FollowedHyperlink"/>
    <w:semiHidden/>
    <w:rPr>
      <w:color w:val="800080"/>
      <w:u w:val="single"/>
    </w:rPr>
  </w:style>
  <w:style w:type="character" w:styleId="HTMLAcronym">
    <w:name w:val="HTML Acronym"/>
    <w:basedOn w:val="DefaultParagraphFont"/>
    <w:semiHidden/>
  </w:style>
  <w:style w:type="paragraph" w:styleId="HTMLAddress">
    <w:name w:val="HTML Address"/>
    <w:basedOn w:val="Normal"/>
    <w:semiHidden/>
    <w:rPr>
      <w:i/>
      <w:iCs/>
    </w:rPr>
  </w:style>
  <w:style w:type="character" w:styleId="HTMLCite">
    <w:name w:val="HTML Cite"/>
    <w:semiHidden/>
    <w:rPr>
      <w:i/>
      <w:iCs/>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szCs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Pr>
      <w:i/>
      <w:iCs/>
    </w:rPr>
  </w:style>
  <w:style w:type="character" w:styleId="Hyperlink">
    <w:name w:val="Hyperlink"/>
    <w:semiHidden/>
    <w:rPr>
      <w:color w:val="0000FF"/>
      <w:u w:val="single"/>
    </w:rPr>
  </w:style>
  <w:style w:type="paragraph" w:styleId="Index1">
    <w:name w:val="index 1"/>
    <w:basedOn w:val="Normal"/>
    <w:next w:val="Normal"/>
    <w:semiHidden/>
    <w:pPr>
      <w:ind w:left="180" w:hanging="180"/>
    </w:pPr>
  </w:style>
  <w:style w:type="paragraph" w:styleId="Index2">
    <w:name w:val="index 2"/>
    <w:basedOn w:val="Normal"/>
    <w:next w:val="Normal"/>
    <w:semiHidden/>
    <w:pPr>
      <w:ind w:left="360" w:hanging="180"/>
    </w:pPr>
  </w:style>
  <w:style w:type="paragraph" w:styleId="Index3">
    <w:name w:val="index 3"/>
    <w:basedOn w:val="Normal"/>
    <w:next w:val="Normal"/>
    <w:semiHidden/>
    <w:pPr>
      <w:ind w:left="540" w:hanging="180"/>
    </w:pPr>
  </w:style>
  <w:style w:type="paragraph" w:styleId="Index4">
    <w:name w:val="index 4"/>
    <w:basedOn w:val="Normal"/>
    <w:next w:val="Normal"/>
    <w:semiHidden/>
    <w:pPr>
      <w:ind w:left="720" w:hanging="180"/>
    </w:pPr>
  </w:style>
  <w:style w:type="paragraph" w:styleId="Index5">
    <w:name w:val="index 5"/>
    <w:basedOn w:val="Normal"/>
    <w:next w:val="Normal"/>
    <w:semiHidden/>
    <w:pPr>
      <w:ind w:left="900" w:hanging="180"/>
    </w:pPr>
  </w:style>
  <w:style w:type="paragraph" w:styleId="Index6">
    <w:name w:val="index 6"/>
    <w:basedOn w:val="Normal"/>
    <w:next w:val="Normal"/>
    <w:semiHidden/>
    <w:pPr>
      <w:ind w:left="1080" w:hanging="180"/>
    </w:pPr>
  </w:style>
  <w:style w:type="paragraph" w:styleId="Index7">
    <w:name w:val="index 7"/>
    <w:basedOn w:val="Normal"/>
    <w:next w:val="Normal"/>
    <w:semiHidden/>
    <w:pPr>
      <w:ind w:left="1260" w:hanging="180"/>
    </w:pPr>
  </w:style>
  <w:style w:type="paragraph" w:styleId="Index8">
    <w:name w:val="index 8"/>
    <w:basedOn w:val="Normal"/>
    <w:next w:val="Normal"/>
    <w:semiHidden/>
    <w:pPr>
      <w:ind w:left="1440" w:hanging="180"/>
    </w:pPr>
  </w:style>
  <w:style w:type="paragraph" w:styleId="Index9">
    <w:name w:val="index 9"/>
    <w:basedOn w:val="Normal"/>
    <w:next w:val="Normal"/>
    <w:semiHidden/>
    <w:pPr>
      <w:ind w:left="1620" w:hanging="180"/>
    </w:pPr>
  </w:style>
  <w:style w:type="paragraph" w:styleId="IndexHeading">
    <w:name w:val="index heading"/>
    <w:basedOn w:val="Normal"/>
    <w:next w:val="Index1"/>
    <w:semiHidden/>
    <w:rPr>
      <w:rFonts w:ascii="Arial" w:hAnsi="Arial" w:cs="Arial"/>
      <w:b/>
      <w:bCs/>
    </w:rPr>
  </w:style>
  <w:style w:type="character" w:styleId="LineNumber">
    <w:name w:val="line number"/>
    <w:basedOn w:val="DefaultParagraphFont"/>
    <w:semiHidden/>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semiHidden/>
    <w:pPr>
      <w:numPr>
        <w:numId w:val="17"/>
      </w:numPr>
    </w:pPr>
  </w:style>
  <w:style w:type="paragraph" w:styleId="ListBullet2">
    <w:name w:val="List Bullet 2"/>
    <w:basedOn w:val="Normal"/>
    <w:semiHidden/>
    <w:pPr>
      <w:numPr>
        <w:numId w:val="18"/>
      </w:numPr>
    </w:pPr>
  </w:style>
  <w:style w:type="paragraph" w:styleId="ListBullet3">
    <w:name w:val="List Bullet 3"/>
    <w:basedOn w:val="Normal"/>
    <w:semiHidden/>
    <w:pPr>
      <w:numPr>
        <w:numId w:val="19"/>
      </w:numPr>
    </w:pPr>
  </w:style>
  <w:style w:type="paragraph" w:styleId="ListBullet4">
    <w:name w:val="List Bullet 4"/>
    <w:basedOn w:val="Normal"/>
    <w:semiHidden/>
    <w:pPr>
      <w:numPr>
        <w:numId w:val="20"/>
      </w:numPr>
    </w:pPr>
  </w:style>
  <w:style w:type="paragraph" w:styleId="ListBullet5">
    <w:name w:val="List Bullet 5"/>
    <w:basedOn w:val="Normal"/>
    <w:semiHidden/>
    <w:pPr>
      <w:numPr>
        <w:numId w:val="21"/>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22"/>
      </w:numPr>
    </w:pPr>
  </w:style>
  <w:style w:type="paragraph" w:styleId="ListNumber2">
    <w:name w:val="List Number 2"/>
    <w:basedOn w:val="Normal"/>
    <w:semiHidden/>
    <w:pPr>
      <w:numPr>
        <w:numId w:val="23"/>
      </w:numPr>
    </w:pPr>
  </w:style>
  <w:style w:type="paragraph" w:styleId="ListNumber3">
    <w:name w:val="List Number 3"/>
    <w:basedOn w:val="Normal"/>
    <w:semiHidden/>
    <w:pPr>
      <w:numPr>
        <w:numId w:val="24"/>
      </w:numPr>
    </w:pPr>
  </w:style>
  <w:style w:type="paragraph" w:styleId="ListNumber4">
    <w:name w:val="List Number 4"/>
    <w:basedOn w:val="Normal"/>
    <w:semiHidden/>
    <w:pPr>
      <w:numPr>
        <w:numId w:val="25"/>
      </w:numPr>
    </w:pPr>
  </w:style>
  <w:style w:type="paragraph" w:styleId="ListNumber5">
    <w:name w:val="List Number 5"/>
    <w:basedOn w:val="Normal"/>
    <w:semiHidden/>
    <w:pPr>
      <w:numPr>
        <w:numId w:val="26"/>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zh-CN"/>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rPr>
      <w:rFonts w:ascii="Times New Roman" w:hAnsi="Times New Roman" w:cs="Times New Roman"/>
      <w:sz w:val="24"/>
      <w:szCs w:val="24"/>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PlainText">
    <w:name w:val="Plain Text"/>
    <w:basedOn w:val="Normal"/>
    <w:semiHidden/>
    <w:rPr>
      <w:rFonts w:ascii="Courier New" w:hAnsi="Courier New" w:cs="Courier New"/>
      <w:sz w:val="20"/>
      <w:szCs w:val="20"/>
    </w:rPr>
  </w:style>
  <w:style w:type="paragraph" w:styleId="Salutation">
    <w:name w:val="Salutation"/>
    <w:basedOn w:val="Normal"/>
    <w:next w:val="Normal"/>
    <w:semiHidden/>
  </w:style>
  <w:style w:type="paragraph" w:styleId="Signature">
    <w:name w:val="Signature"/>
    <w:basedOn w:val="Normal"/>
    <w:semiHidden/>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180" w:hanging="180"/>
    </w:pPr>
  </w:style>
  <w:style w:type="paragraph" w:styleId="TableofFigures">
    <w:name w:val="table of figures"/>
    <w:basedOn w:val="Normal"/>
    <w:next w:val="Normal"/>
    <w:semiHidden/>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character" w:customStyle="1" w:styleId="DocsubtitleAgencyChar">
    <w:name w:val="Doc subtitle (Agency) Char"/>
    <w:rPr>
      <w:rFonts w:ascii="Verdana" w:eastAsia="Verdana" w:hAnsi="Verdana" w:cs="Verdana"/>
      <w:sz w:val="24"/>
      <w:szCs w:val="24"/>
      <w:lang w:val="en-GB" w:eastAsia="en-GB" w:bidi="ar-SA"/>
    </w:rPr>
  </w:style>
  <w:style w:type="character" w:customStyle="1" w:styleId="BodytextAgencyChar">
    <w:name w:val="Body text (Agency) Char"/>
    <w:rPr>
      <w:rFonts w:ascii="Verdana" w:eastAsia="Verdana" w:hAnsi="Verdana" w:cs="Verdana"/>
      <w:sz w:val="18"/>
      <w:szCs w:val="18"/>
      <w:lang w:val="en-GB" w:eastAsia="en-GB" w:bidi="ar-SA"/>
    </w:rPr>
  </w:style>
  <w:style w:type="paragraph" w:customStyle="1" w:styleId="StyleTableheadingrowsAgencyNotBoldItalicSeaGreen">
    <w:name w:val="Style Table heading rows (Agency) + Not Bold Italic Sea Green"/>
    <w:basedOn w:val="TableheadingrowsAgency"/>
    <w:rPr>
      <w:b w:val="0"/>
      <w:i/>
      <w:iCs/>
      <w:color w:val="7BBBB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X:\Templates\Filenew\WP%20Publ\Submission%20of%20comments%20on%20guideline%20by%20stakeholder.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53D783-C112-5F40-92F2-09BD4C2FE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\Templates\Filenew\WP Publ\Submission of comments on guideline by stakeholder.dot</Template>
  <TotalTime>11</TotalTime>
  <Pages>8</Pages>
  <Words>2519</Words>
  <Characters>14360</Characters>
  <Application>Microsoft Macintosh Word</Application>
  <DocSecurity>8</DocSecurity>
  <Lines>119</Lines>
  <Paragraphs>33</Paragraphs>
  <ScaleCrop>false</ScaleCrop>
  <HeadingPairs>
    <vt:vector size="2" baseType="variant">
      <vt:variant>
        <vt:lpstr>Title</vt:lpstr>
      </vt:variant>
      <vt:variant>
        <vt:i4>1</vt:i4>
      </vt:variant>
    </vt:vector>
  </HeadingPairs>
  <TitlesOfParts>
    <vt:vector size="1" baseType="lpstr">
      <vt:lpstr>Form for submission of comments</vt:lpstr>
    </vt:vector>
  </TitlesOfParts>
  <Company>European Medicines Agency</Company>
  <LinksUpToDate>false</LinksUpToDate>
  <CharactersWithSpaces>16846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for submission of comments</dc:title>
  <dc:creator>European Medicines Agency</dc:creator>
  <dc:description>Template developed for European Medicines Agency by Fiona Lewis and Vanessa Crookes December 2009</dc:description>
  <cp:lastModifiedBy>Efpia</cp:lastModifiedBy>
  <cp:revision>9</cp:revision>
  <cp:lastPrinted>2015-10-14T12:49:00Z</cp:lastPrinted>
  <dcterms:created xsi:type="dcterms:W3CDTF">2015-11-27T08:37:00Z</dcterms:created>
  <dcterms:modified xsi:type="dcterms:W3CDTF">2015-12-01T11:44:00Z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emea_meeting_flags">
    <vt:lpwstr/>
  </property>
  <property fmtid="{D5CDD505-2E9C-101B-9397-08002B2CF9AE}" pid="3" name="DM_emea_meeting_ref">
    <vt:lpwstr/>
  </property>
  <property fmtid="{D5CDD505-2E9C-101B-9397-08002B2CF9AE}" pid="4" name="DM_emea_meeting_title">
    <vt:lpwstr/>
  </property>
  <property fmtid="{D5CDD505-2E9C-101B-9397-08002B2CF9AE}" pid="5" name="DM_emea_meeting_hyperlink">
    <vt:lpwstr/>
  </property>
  <property fmtid="{D5CDD505-2E9C-101B-9397-08002B2CF9AE}" pid="6" name="DM_emea_meeting_action">
    <vt:lpwstr/>
  </property>
  <property fmtid="{D5CDD505-2E9C-101B-9397-08002B2CF9AE}" pid="7" name="DM_emea_meeting_status">
    <vt:lpwstr/>
  </property>
  <property fmtid="{D5CDD505-2E9C-101B-9397-08002B2CF9AE}" pid="8" name="DM_emea_doc_lang">
    <vt:lpwstr/>
  </property>
  <property fmtid="{D5CDD505-2E9C-101B-9397-08002B2CF9AE}" pid="9" name="DM_emea_sent_date">
    <vt:lpwstr>nulldate</vt:lpwstr>
  </property>
  <property fmtid="{D5CDD505-2E9C-101B-9397-08002B2CF9AE}" pid="10" name="DM_emea_year">
    <vt:lpwstr>2005</vt:lpwstr>
  </property>
  <property fmtid="{D5CDD505-2E9C-101B-9397-08002B2CF9AE}" pid="11" name="DM_emea_legal_date">
    <vt:lpwstr>nulldate</vt:lpwstr>
  </property>
  <property fmtid="{D5CDD505-2E9C-101B-9397-08002B2CF9AE}" pid="12" name="DM_emea_internal_label">
    <vt:lpwstr>EMA</vt:lpwstr>
  </property>
  <property fmtid="{D5CDD505-2E9C-101B-9397-08002B2CF9AE}" pid="13" name="DM_emea_from">
    <vt:lpwstr/>
  </property>
  <property fmtid="{D5CDD505-2E9C-101B-9397-08002B2CF9AE}" pid="14" name="DM_emea_doc_category">
    <vt:lpwstr>Comments</vt:lpwstr>
  </property>
  <property fmtid="{D5CDD505-2E9C-101B-9397-08002B2CF9AE}" pid="15" name="DM_emea_bcc">
    <vt:lpwstr/>
  </property>
  <property fmtid="{D5CDD505-2E9C-101B-9397-08002B2CF9AE}" pid="16" name="DM_emea_to">
    <vt:lpwstr/>
  </property>
  <property fmtid="{D5CDD505-2E9C-101B-9397-08002B2CF9AE}" pid="17" name="DM_emea_revision_label">
    <vt:lpwstr/>
  </property>
  <property fmtid="{D5CDD505-2E9C-101B-9397-08002B2CF9AE}" pid="18" name="DM_emea_resp_body">
    <vt:lpwstr/>
  </property>
  <property fmtid="{D5CDD505-2E9C-101B-9397-08002B2CF9AE}" pid="19" name="DM_emea_received_date">
    <vt:lpwstr>nulldate</vt:lpwstr>
  </property>
  <property fmtid="{D5CDD505-2E9C-101B-9397-08002B2CF9AE}" pid="20" name="DM_emea_doc_number">
    <vt:lpwstr>293958</vt:lpwstr>
  </property>
  <property fmtid="{D5CDD505-2E9C-101B-9397-08002B2CF9AE}" pid="21" name="DM_emea_message_subject">
    <vt:lpwstr/>
  </property>
  <property fmtid="{D5CDD505-2E9C-101B-9397-08002B2CF9AE}" pid="22" name="DM_emea_cc">
    <vt:lpwstr/>
  </property>
  <property fmtid="{D5CDD505-2E9C-101B-9397-08002B2CF9AE}" pid="23" name="DM_Type">
    <vt:lpwstr>emea_document</vt:lpwstr>
  </property>
  <property fmtid="{D5CDD505-2E9C-101B-9397-08002B2CF9AE}" pid="24" name="DM_Modified_Date">
    <vt:lpwstr>02/02/2010 18:25:13</vt:lpwstr>
  </property>
  <property fmtid="{D5CDD505-2E9C-101B-9397-08002B2CF9AE}" pid="25" name="DM_Modifer_Name">
    <vt:lpwstr>Hearfield Neil</vt:lpwstr>
  </property>
  <property fmtid="{D5CDD505-2E9C-101B-9397-08002B2CF9AE}" pid="26" name="DM_Creator_Name">
    <vt:lpwstr>Hearfield Neil</vt:lpwstr>
  </property>
  <property fmtid="{D5CDD505-2E9C-101B-9397-08002B2CF9AE}" pid="27" name="DM_Creation_Date">
    <vt:lpwstr>02/02/2010 18:25:13</vt:lpwstr>
  </property>
  <property fmtid="{D5CDD505-2E9C-101B-9397-08002B2CF9AE}" pid="28" name="DM_Owner">
    <vt:lpwstr>Schumacher Dunja</vt:lpwstr>
  </property>
  <property fmtid="{D5CDD505-2E9C-101B-9397-08002B2CF9AE}" pid="29" name="DM_Name">
    <vt:lpwstr>Submission of comments form</vt:lpwstr>
  </property>
  <property fmtid="{D5CDD505-2E9C-101B-9397-08002B2CF9AE}" pid="30" name="DM_Language">
    <vt:lpwstr/>
  </property>
  <property fmtid="{D5CDD505-2E9C-101B-9397-08002B2CF9AE}" pid="31" name="DM_Title">
    <vt:lpwstr/>
  </property>
  <property fmtid="{D5CDD505-2E9C-101B-9397-08002B2CF9AE}" pid="32" name="DM_Subject">
    <vt:lpwstr>Comments-EMA/293958/2005</vt:lpwstr>
  </property>
  <property fmtid="{D5CDD505-2E9C-101B-9397-08002B2CF9AE}" pid="33" name="DM_Keywords">
    <vt:lpwstr/>
  </property>
  <property fmtid="{D5CDD505-2E9C-101B-9397-08002B2CF9AE}" pid="34" name="DM_Authors">
    <vt:lpwstr/>
  </property>
  <property fmtid="{D5CDD505-2E9C-101B-9397-08002B2CF9AE}" pid="35" name="DM_Status">
    <vt:lpwstr/>
  </property>
  <property fmtid="{D5CDD505-2E9C-101B-9397-08002B2CF9AE}" pid="36" name="DM_version">
    <vt:lpwstr>3.0, CURRENT, Ready for publication</vt:lpwstr>
  </property>
  <property fmtid="{D5CDD505-2E9C-101B-9397-08002B2CF9AE}" pid="37" name="DM_emea_doc_ref_id">
    <vt:lpwstr>EMA/293958/2005</vt:lpwstr>
  </property>
</Properties>
</file>