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DD31A" w14:textId="77777777" w:rsidR="00550D47" w:rsidRDefault="00814ED6">
      <w:pPr>
        <w:pStyle w:val="RefAgency"/>
        <w:tabs>
          <w:tab w:val="left" w:pos="1277"/>
        </w:tabs>
      </w:pPr>
      <w:bookmarkStart w:id="0" w:name="_GoBack"/>
      <w:bookmarkEnd w:id="0"/>
      <w:r>
        <w:t>29 July 2014</w:t>
      </w:r>
    </w:p>
    <w:p w14:paraId="486863A9" w14:textId="77777777" w:rsidR="00550D47" w:rsidRDefault="00550D47">
      <w:pPr>
        <w:pStyle w:val="RefAgency"/>
        <w:tabs>
          <w:tab w:val="left" w:pos="1277"/>
        </w:tabs>
      </w:pPr>
    </w:p>
    <w:p w14:paraId="67C434B7" w14:textId="77777777" w:rsidR="00550D47" w:rsidRPr="00B822FC" w:rsidRDefault="00550D47">
      <w:pPr>
        <w:pStyle w:val="RefAgency"/>
        <w:tabs>
          <w:tab w:val="left" w:pos="1277"/>
        </w:tabs>
      </w:pPr>
    </w:p>
    <w:p w14:paraId="6D274704" w14:textId="53AE5267" w:rsidR="00550D47" w:rsidRDefault="00550D47">
      <w:pPr>
        <w:pStyle w:val="DoctitleAgency"/>
      </w:pPr>
      <w:bookmarkStart w:id="1" w:name="Head"/>
      <w:bookmarkEnd w:id="1"/>
      <w:r w:rsidRPr="00F308FD">
        <w:t>Submission of comments on</w:t>
      </w:r>
      <w:r>
        <w:t xml:space="preserve"> </w:t>
      </w:r>
      <w:r w:rsidR="009C408E">
        <w:t xml:space="preserve">Draft detailed guide regarding the monitoring of medical literature and the entry of relevant information into the </w:t>
      </w:r>
      <w:proofErr w:type="spellStart"/>
      <w:r w:rsidR="009C408E">
        <w:t>EudraVigilance</w:t>
      </w:r>
      <w:proofErr w:type="spellEnd"/>
      <w:r w:rsidR="009C408E">
        <w:t xml:space="preserve"> database by the European Medicines Agency (EMA/161530/2014)</w:t>
      </w:r>
    </w:p>
    <w:p w14:paraId="16DC4BEF" w14:textId="77777777" w:rsidR="00550D47" w:rsidRDefault="00550D47">
      <w:pPr>
        <w:pStyle w:val="DocsubtitleAgency"/>
      </w:pPr>
    </w:p>
    <w:p w14:paraId="1C59BD75" w14:textId="77777777" w:rsidR="00550D47" w:rsidRPr="00B822FC" w:rsidRDefault="00550D47">
      <w:pPr>
        <w:pStyle w:val="No-TOCheadingAgency"/>
      </w:pPr>
      <w:r w:rsidRPr="00B822FC">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50D47" w:rsidRPr="00FC77C1" w14:paraId="7B7D79DB" w14:textId="77777777" w:rsidTr="00656E6A">
        <w:trPr>
          <w:tblHeader/>
        </w:trPr>
        <w:tc>
          <w:tcPr>
            <w:tcW w:w="5000" w:type="pct"/>
            <w:tcBorders>
              <w:top w:val="nil"/>
              <w:left w:val="nil"/>
              <w:bottom w:val="nil"/>
              <w:right w:val="nil"/>
              <w:tl2br w:val="nil"/>
              <w:tr2bl w:val="nil"/>
            </w:tcBorders>
            <w:shd w:val="clear" w:color="auto" w:fill="003399"/>
          </w:tcPr>
          <w:p w14:paraId="39C5FCBC" w14:textId="77777777" w:rsidR="00550D47" w:rsidRPr="00FC77C1" w:rsidRDefault="006F35F8" w:rsidP="006F35F8">
            <w:pPr>
              <w:pStyle w:val="TableheadingrowsAgency"/>
              <w:rPr>
                <w:b w:val="0"/>
              </w:rPr>
            </w:pPr>
            <w:r>
              <w:rPr>
                <w:b w:val="0"/>
              </w:rPr>
              <w:t>EFPIA</w:t>
            </w:r>
          </w:p>
        </w:tc>
      </w:tr>
      <w:tr w:rsidR="00550D47" w:rsidRPr="00B822FC" w14:paraId="264F1CEE" w14:textId="77777777" w:rsidTr="00656E6A">
        <w:tc>
          <w:tcPr>
            <w:tcW w:w="5000" w:type="pct"/>
            <w:shd w:val="clear" w:color="auto" w:fill="E1E3F2"/>
          </w:tcPr>
          <w:p w14:paraId="17B8C44B" w14:textId="756C1EDC" w:rsidR="00550D47" w:rsidRPr="00B822FC" w:rsidRDefault="00814ED6">
            <w:pPr>
              <w:pStyle w:val="TabletextrowsAgency"/>
            </w:pPr>
            <w:r>
              <w:t xml:space="preserve">EFPIA – </w:t>
            </w:r>
            <w:proofErr w:type="spellStart"/>
            <w:r>
              <w:t>Sini</w:t>
            </w:r>
            <w:proofErr w:type="spellEnd"/>
            <w:r>
              <w:t xml:space="preserve"> </w:t>
            </w:r>
            <w:proofErr w:type="spellStart"/>
            <w:r>
              <w:t>Esko</w:t>
            </w:r>
            <w:r w:rsidR="00150524">
              <w:t>l</w:t>
            </w:r>
            <w:r>
              <w:t>a</w:t>
            </w:r>
            <w:proofErr w:type="spellEnd"/>
            <w:r>
              <w:t xml:space="preserve"> (sini.eskola@efpia.eu)</w:t>
            </w:r>
          </w:p>
        </w:tc>
      </w:tr>
    </w:tbl>
    <w:p w14:paraId="4415AC54" w14:textId="77777777" w:rsidR="00550D47" w:rsidRDefault="00550D47">
      <w:pPr>
        <w:pStyle w:val="BodytextAgency"/>
      </w:pPr>
    </w:p>
    <w:p w14:paraId="0E80F281" w14:textId="77777777" w:rsidR="00956669" w:rsidRPr="00561BA0" w:rsidRDefault="00956669" w:rsidP="00956669">
      <w:pPr>
        <w:pStyle w:val="BodytextAgency"/>
        <w:rPr>
          <w:i/>
        </w:rPr>
      </w:pPr>
      <w:r w:rsidRPr="00561BA0">
        <w:rPr>
          <w:i/>
        </w:rPr>
        <w:t>Please note that these comments and the identity of the sender will be published unless a specific justified objection is received</w:t>
      </w:r>
      <w:r>
        <w:rPr>
          <w:i/>
        </w:rPr>
        <w:t xml:space="preserve"> (please see privacy statements: </w:t>
      </w:r>
      <w:hyperlink r:id="rId16" w:history="1">
        <w:r w:rsidRPr="00F904E0">
          <w:rPr>
            <w:rStyle w:val="Hyperlink"/>
            <w:bCs/>
            <w:sz w:val="17"/>
            <w:szCs w:val="17"/>
          </w:rPr>
          <w:t>http://www.ema.europa.eu/ema/index.jsp?curl=pages/home/general/general_content_000516.jsp&amp;mid</w:t>
        </w:r>
      </w:hyperlink>
      <w:r>
        <w:rPr>
          <w:i/>
        </w:rPr>
        <w:t xml:space="preserve"> and </w:t>
      </w:r>
      <w:hyperlink r:id="rId17" w:history="1">
        <w:r w:rsidRPr="003B2D2D">
          <w:rPr>
            <w:rStyle w:val="Hyperlink"/>
            <w:bCs/>
            <w:sz w:val="17"/>
            <w:szCs w:val="17"/>
          </w:rPr>
          <w:t>http://www.ema.europa.eu/docs/en_GB/document_library/Other/2012/02/WC500123144.pdf</w:t>
        </w:r>
      </w:hyperlink>
      <w:r>
        <w:rPr>
          <w:i/>
        </w:rPr>
        <w:t>).</w:t>
      </w:r>
    </w:p>
    <w:p w14:paraId="03E3E621" w14:textId="77777777" w:rsidR="00956669" w:rsidRPr="00561BA0" w:rsidRDefault="00956669" w:rsidP="00956669">
      <w:pPr>
        <w:pStyle w:val="BodytextAgency"/>
        <w:rPr>
          <w:i/>
        </w:rPr>
      </w:pPr>
      <w:r>
        <w:rPr>
          <w:i/>
        </w:rPr>
        <w:t>When completed, this form should be sent</w:t>
      </w:r>
      <w:r w:rsidRPr="00561BA0">
        <w:rPr>
          <w:i/>
        </w:rPr>
        <w:t xml:space="preserve"> to the European Medicines Agency</w:t>
      </w:r>
      <w:r>
        <w:rPr>
          <w:i/>
        </w:rPr>
        <w:t xml:space="preserve"> electronically, in Word format (not PDF</w:t>
      </w:r>
      <w:r w:rsidRPr="00561BA0">
        <w:rPr>
          <w:i/>
        </w:rPr>
        <w:t>)</w:t>
      </w:r>
      <w:r>
        <w:rPr>
          <w:i/>
        </w:rPr>
        <w:t xml:space="preserve"> (</w:t>
      </w:r>
      <w:r w:rsidRPr="00EB6CD6">
        <w:rPr>
          <w:i/>
        </w:rPr>
        <w:t xml:space="preserve">see Introductory </w:t>
      </w:r>
      <w:r>
        <w:rPr>
          <w:i/>
        </w:rPr>
        <w:t>c</w:t>
      </w:r>
      <w:r w:rsidRPr="00EB6CD6">
        <w:rPr>
          <w:i/>
        </w:rPr>
        <w:t xml:space="preserve">over </w:t>
      </w:r>
      <w:r>
        <w:rPr>
          <w:i/>
        </w:rPr>
        <w:t>n</w:t>
      </w:r>
      <w:r w:rsidRPr="00EB6CD6">
        <w:rPr>
          <w:i/>
        </w:rPr>
        <w:t>ote for the public consultation of GVP under Practical advice for the public consultation</w:t>
      </w:r>
      <w:r>
        <w:rPr>
          <w:i/>
        </w:rPr>
        <w:t xml:space="preserve">: </w:t>
      </w:r>
      <w:hyperlink r:id="rId18" w:history="1">
        <w:r w:rsidRPr="003B2D2D">
          <w:rPr>
            <w:rStyle w:val="Hyperlink"/>
            <w:bCs/>
            <w:sz w:val="17"/>
            <w:szCs w:val="17"/>
          </w:rPr>
          <w:t>http://www.ema.europa.eu/docs/en_GB/document_library/Other/2012/02/WC500123145.pdf</w:t>
        </w:r>
      </w:hyperlink>
      <w:r w:rsidRPr="003B2D2D">
        <w:t>)</w:t>
      </w:r>
      <w:r w:rsidRPr="00EB6CD6">
        <w:rPr>
          <w:i/>
        </w:rPr>
        <w:t>.</w:t>
      </w:r>
      <w:r>
        <w:t xml:space="preserve"> </w:t>
      </w:r>
    </w:p>
    <w:p w14:paraId="59003A5B" w14:textId="77777777" w:rsidR="00550D47" w:rsidRPr="00E43F9C" w:rsidRDefault="00550D47">
      <w:pPr>
        <w:pStyle w:val="BodytextAgency"/>
      </w:pPr>
    </w:p>
    <w:p w14:paraId="78CBA200" w14:textId="77777777" w:rsidR="00550D47" w:rsidRPr="00B822FC" w:rsidRDefault="00550D47">
      <w:pPr>
        <w:pStyle w:val="BodytextAgency"/>
      </w:pPr>
    </w:p>
    <w:p w14:paraId="3712DE40" w14:textId="77777777" w:rsidR="00550D47" w:rsidRPr="00B822FC" w:rsidRDefault="00550D47">
      <w:pPr>
        <w:pStyle w:val="BodytextAgency"/>
        <w:sectPr w:rsidR="00550D47" w:rsidRPr="00B822FC">
          <w:footerReference w:type="default" r:id="rId19"/>
          <w:headerReference w:type="first" r:id="rId20"/>
          <w:footerReference w:type="first" r:id="rId21"/>
          <w:pgSz w:w="11907" w:h="16839" w:code="9"/>
          <w:pgMar w:top="1418" w:right="1247" w:bottom="1418" w:left="1247" w:header="284" w:footer="680" w:gutter="0"/>
          <w:cols w:space="720"/>
          <w:titlePg/>
          <w:docGrid w:linePitch="326"/>
        </w:sectPr>
      </w:pPr>
    </w:p>
    <w:p w14:paraId="69E507A7" w14:textId="77777777" w:rsidR="00550D47" w:rsidRPr="00B822FC" w:rsidRDefault="00550D47">
      <w:pPr>
        <w:pStyle w:val="Heading1Agency"/>
      </w:pPr>
      <w:r w:rsidRPr="00B822FC">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7"/>
        <w:gridCol w:w="8517"/>
        <w:gridCol w:w="3762"/>
      </w:tblGrid>
      <w:tr w:rsidR="00550D47" w:rsidRPr="00656E6A" w14:paraId="6E3559AC" w14:textId="77777777" w:rsidTr="00545197">
        <w:trPr>
          <w:tblHeader/>
        </w:trPr>
        <w:tc>
          <w:tcPr>
            <w:tcW w:w="848" w:type="pct"/>
            <w:tcBorders>
              <w:top w:val="nil"/>
              <w:left w:val="nil"/>
              <w:bottom w:val="nil"/>
              <w:right w:val="nil"/>
              <w:tl2br w:val="nil"/>
              <w:tr2bl w:val="nil"/>
            </w:tcBorders>
            <w:shd w:val="clear" w:color="auto" w:fill="003399"/>
          </w:tcPr>
          <w:p w14:paraId="126379AC" w14:textId="77777777" w:rsidR="00EF2A21" w:rsidRPr="00656E6A" w:rsidRDefault="00550D47" w:rsidP="00EF2A21">
            <w:pPr>
              <w:pStyle w:val="TableheadingrowsAgency"/>
              <w:rPr>
                <w:b w:val="0"/>
                <w:bCs/>
                <w:i/>
                <w:color w:val="339966"/>
              </w:rPr>
            </w:pPr>
            <w:r w:rsidRPr="00656E6A">
              <w:rPr>
                <w:b w:val="0"/>
                <w:bCs/>
              </w:rPr>
              <w:t xml:space="preserve">Stakeholder </w:t>
            </w:r>
          </w:p>
          <w:p w14:paraId="0D3F7376" w14:textId="77777777" w:rsidR="00550D47" w:rsidRPr="00656E6A" w:rsidRDefault="00550D47">
            <w:pPr>
              <w:pStyle w:val="TableheadingrowsAgency"/>
              <w:rPr>
                <w:b w:val="0"/>
                <w:bCs/>
                <w:i/>
                <w:color w:val="339966"/>
              </w:rPr>
            </w:pPr>
          </w:p>
        </w:tc>
        <w:tc>
          <w:tcPr>
            <w:tcW w:w="2879" w:type="pct"/>
            <w:tcBorders>
              <w:top w:val="nil"/>
              <w:left w:val="nil"/>
              <w:bottom w:val="nil"/>
              <w:right w:val="nil"/>
              <w:tl2br w:val="nil"/>
              <w:tr2bl w:val="nil"/>
            </w:tcBorders>
            <w:shd w:val="clear" w:color="auto" w:fill="003399"/>
          </w:tcPr>
          <w:p w14:paraId="563D1D47" w14:textId="77777777" w:rsidR="00550D47" w:rsidRPr="00656E6A" w:rsidRDefault="00550D47">
            <w:pPr>
              <w:pStyle w:val="TableheadingrowsAgency"/>
              <w:rPr>
                <w:b w:val="0"/>
                <w:bCs/>
              </w:rPr>
            </w:pPr>
            <w:r w:rsidRPr="00656E6A">
              <w:rPr>
                <w:b w:val="0"/>
                <w:bCs/>
              </w:rPr>
              <w:t>General comment</w:t>
            </w:r>
          </w:p>
        </w:tc>
        <w:tc>
          <w:tcPr>
            <w:tcW w:w="1272" w:type="pct"/>
            <w:tcBorders>
              <w:top w:val="nil"/>
              <w:left w:val="nil"/>
              <w:bottom w:val="nil"/>
              <w:right w:val="nil"/>
              <w:tl2br w:val="nil"/>
              <w:tr2bl w:val="nil"/>
            </w:tcBorders>
            <w:shd w:val="clear" w:color="auto" w:fill="003399"/>
          </w:tcPr>
          <w:p w14:paraId="01991B77" w14:textId="77777777" w:rsidR="00550D47" w:rsidRPr="00656E6A" w:rsidRDefault="00EF2A21">
            <w:pPr>
              <w:pStyle w:val="TableheadingrowsAgency"/>
              <w:rPr>
                <w:b w:val="0"/>
                <w:bCs/>
              </w:rPr>
            </w:pPr>
            <w:r>
              <w:rPr>
                <w:b w:val="0"/>
                <w:bCs/>
              </w:rPr>
              <w:t xml:space="preserve">Required </w:t>
            </w:r>
            <w:r w:rsidR="00550D47" w:rsidRPr="00656E6A">
              <w:rPr>
                <w:b w:val="0"/>
                <w:bCs/>
              </w:rPr>
              <w:t>Outcome</w:t>
            </w:r>
          </w:p>
          <w:p w14:paraId="69BF6292" w14:textId="77777777" w:rsidR="00550D47" w:rsidRPr="00656E6A" w:rsidRDefault="00550D47">
            <w:pPr>
              <w:pStyle w:val="TableheadingrowsAgency"/>
              <w:rPr>
                <w:b w:val="0"/>
                <w:bCs/>
                <w:i/>
                <w:color w:val="339966"/>
              </w:rPr>
            </w:pPr>
          </w:p>
        </w:tc>
      </w:tr>
      <w:tr w:rsidR="00536B30" w14:paraId="78D9C97C" w14:textId="77777777" w:rsidTr="00545197">
        <w:tc>
          <w:tcPr>
            <w:tcW w:w="848" w:type="pct"/>
            <w:shd w:val="clear" w:color="auto" w:fill="E1E3F2"/>
          </w:tcPr>
          <w:p w14:paraId="0FBE109A" w14:textId="77777777" w:rsidR="00536B30" w:rsidRDefault="00536B30" w:rsidP="00DF21F5">
            <w:pPr>
              <w:pStyle w:val="TabletextrowsAgency"/>
            </w:pPr>
          </w:p>
        </w:tc>
        <w:tc>
          <w:tcPr>
            <w:tcW w:w="2879" w:type="pct"/>
            <w:shd w:val="clear" w:color="auto" w:fill="E1E3F2"/>
          </w:tcPr>
          <w:p w14:paraId="098F93D4" w14:textId="77777777" w:rsidR="00545197" w:rsidRPr="00545197" w:rsidRDefault="00545197" w:rsidP="00545197">
            <w:pPr>
              <w:pStyle w:val="TabletextrowsAgency"/>
              <w:rPr>
                <w:b/>
              </w:rPr>
            </w:pPr>
            <w:r w:rsidRPr="00536B30">
              <w:rPr>
                <w:b/>
              </w:rPr>
              <w:t xml:space="preserve">Comment: </w:t>
            </w:r>
            <w:r>
              <w:rPr>
                <w:b/>
              </w:rPr>
              <w:t xml:space="preserve"> </w:t>
            </w:r>
            <w:r w:rsidR="004E738E">
              <w:t>EFPIA</w:t>
            </w:r>
            <w:r w:rsidR="00536B30">
              <w:t xml:space="preserve"> </w:t>
            </w:r>
            <w:r w:rsidR="00B054E8" w:rsidRPr="00BD5AEE">
              <w:t>welcome</w:t>
            </w:r>
            <w:r w:rsidR="00B054E8">
              <w:t>s</w:t>
            </w:r>
            <w:r w:rsidR="00B054E8" w:rsidRPr="00BD5AEE">
              <w:t xml:space="preserve"> this guidance which provides clarification on the process for agency monitoring of medical literature</w:t>
            </w:r>
            <w:r w:rsidR="00B054E8">
              <w:t xml:space="preserve"> and the entry of rele</w:t>
            </w:r>
            <w:r w:rsidR="00743A68">
              <w:t xml:space="preserve">vant information into the </w:t>
            </w:r>
            <w:proofErr w:type="spellStart"/>
            <w:r w:rsidR="00743A68">
              <w:t>EudraV</w:t>
            </w:r>
            <w:r w:rsidR="00B054E8">
              <w:t>igilance</w:t>
            </w:r>
            <w:proofErr w:type="spellEnd"/>
            <w:r w:rsidR="00B054E8">
              <w:t xml:space="preserve"> database by the EMA</w:t>
            </w:r>
            <w:r w:rsidR="00B054E8" w:rsidRPr="00BD5AEE">
              <w:t>.</w:t>
            </w:r>
            <w:r w:rsidR="00FF6C6B">
              <w:t xml:space="preserve">  </w:t>
            </w:r>
          </w:p>
          <w:p w14:paraId="6426E21D" w14:textId="77777777" w:rsidR="00545197" w:rsidRDefault="00545197" w:rsidP="00545197">
            <w:pPr>
              <w:pStyle w:val="TabletextrowsAgency"/>
            </w:pPr>
          </w:p>
          <w:p w14:paraId="42BD51EB" w14:textId="77777777" w:rsidR="00B054E8" w:rsidRDefault="00FF6C6B" w:rsidP="00545197">
            <w:pPr>
              <w:pStyle w:val="TabletextrowsAgency"/>
            </w:pPr>
            <w:r>
              <w:t xml:space="preserve">We note that although entitled detailed guidance, this document is high level and further </w:t>
            </w:r>
            <w:r w:rsidR="00150B93">
              <w:t xml:space="preserve">information </w:t>
            </w:r>
            <w:r>
              <w:t>w</w:t>
            </w:r>
            <w:r w:rsidR="001001B4">
              <w:t>ill</w:t>
            </w:r>
            <w:r>
              <w:t xml:space="preserve"> be needed before a full </w:t>
            </w:r>
            <w:r w:rsidR="00150B93">
              <w:t xml:space="preserve">impact </w:t>
            </w:r>
            <w:r>
              <w:t>analysis can be made</w:t>
            </w:r>
            <w:r w:rsidR="00150B93">
              <w:t xml:space="preserve">.  </w:t>
            </w:r>
            <w:r w:rsidR="00F04436">
              <w:t>A</w:t>
            </w:r>
            <w:r w:rsidRPr="00FF6C6B">
              <w:t xml:space="preserve">fter </w:t>
            </w:r>
            <w:r>
              <w:t>extensive</w:t>
            </w:r>
            <w:r w:rsidRPr="00FF6C6B">
              <w:t xml:space="preserve"> review</w:t>
            </w:r>
            <w:r>
              <w:t xml:space="preserve"> of this </w:t>
            </w:r>
            <w:r w:rsidR="00450C3B">
              <w:t xml:space="preserve">current </w:t>
            </w:r>
            <w:r>
              <w:t>draft</w:t>
            </w:r>
            <w:r w:rsidR="00150B93">
              <w:t xml:space="preserve">, </w:t>
            </w:r>
            <w:r>
              <w:t xml:space="preserve">the following high level </w:t>
            </w:r>
            <w:r w:rsidR="00150B93">
              <w:t>points</w:t>
            </w:r>
            <w:r w:rsidR="00F903FD">
              <w:t xml:space="preserve"> </w:t>
            </w:r>
            <w:r w:rsidR="009A3058">
              <w:t xml:space="preserve">have been identified </w:t>
            </w:r>
            <w:r>
              <w:t xml:space="preserve">(with </w:t>
            </w:r>
            <w:r w:rsidR="00150B93">
              <w:t>detailed comments</w:t>
            </w:r>
            <w:r w:rsidRPr="00FF6C6B">
              <w:t xml:space="preserve"> in the table</w:t>
            </w:r>
            <w:r w:rsidR="00150B93">
              <w:t>s</w:t>
            </w:r>
            <w:r w:rsidRPr="00FF6C6B">
              <w:t xml:space="preserve"> below</w:t>
            </w:r>
            <w:r w:rsidR="0042360D">
              <w:t>. M</w:t>
            </w:r>
            <w:r>
              <w:t xml:space="preserve">any of </w:t>
            </w:r>
            <w:r w:rsidR="0042360D">
              <w:t>these point</w:t>
            </w:r>
            <w:r w:rsidR="00743A68">
              <w:t>s</w:t>
            </w:r>
            <w:r>
              <w:t xml:space="preserve"> </w:t>
            </w:r>
            <w:r w:rsidR="00150B93">
              <w:t xml:space="preserve">in EFPIA’s opinion </w:t>
            </w:r>
            <w:r w:rsidR="000E7ACD">
              <w:t xml:space="preserve">will require MAHs to </w:t>
            </w:r>
            <w:r w:rsidR="009A3058">
              <w:t xml:space="preserve">add complex new processes whilst still </w:t>
            </w:r>
            <w:r w:rsidR="000E7ACD">
              <w:t>screen</w:t>
            </w:r>
            <w:r w:rsidR="009A3058">
              <w:t>ing</w:t>
            </w:r>
            <w:r w:rsidR="000E7ACD">
              <w:t xml:space="preserve"> the same </w:t>
            </w:r>
            <w:r w:rsidR="009A3058">
              <w:t xml:space="preserve">product/journal combinations, </w:t>
            </w:r>
            <w:r w:rsidR="000E7ACD">
              <w:t>thereby increasing</w:t>
            </w:r>
            <w:r w:rsidRPr="00FF6C6B">
              <w:t xml:space="preserve"> </w:t>
            </w:r>
            <w:r w:rsidR="001001B4">
              <w:t xml:space="preserve">MAH </w:t>
            </w:r>
            <w:r w:rsidRPr="00FF6C6B">
              <w:t>workload</w:t>
            </w:r>
            <w:r w:rsidR="0042360D">
              <w:t xml:space="preserve"> and </w:t>
            </w:r>
            <w:r w:rsidR="00743A68">
              <w:t>being contrary to</w:t>
            </w:r>
            <w:r w:rsidR="0042360D">
              <w:t xml:space="preserve"> the</w:t>
            </w:r>
            <w:r w:rsidR="0042360D" w:rsidRPr="00894F1B">
              <w:t xml:space="preserve"> key principle of ‘Avoiding </w:t>
            </w:r>
            <w:r w:rsidR="0042360D">
              <w:t xml:space="preserve">a </w:t>
            </w:r>
            <w:r w:rsidR="0042360D" w:rsidRPr="00894F1B">
              <w:t>partial service that would necessita</w:t>
            </w:r>
            <w:r w:rsidR="0042360D">
              <w:t>te duplicative efforts by MAHs’.</w:t>
            </w:r>
          </w:p>
          <w:p w14:paraId="73FC86F9" w14:textId="77777777" w:rsidR="00545197" w:rsidRPr="00545197" w:rsidRDefault="00545197" w:rsidP="00545197">
            <w:pPr>
              <w:pStyle w:val="TabletextrowsAgency"/>
            </w:pPr>
          </w:p>
          <w:p w14:paraId="39D30029" w14:textId="77777777" w:rsidR="00545197" w:rsidRPr="00545197" w:rsidRDefault="00545197" w:rsidP="00545197">
            <w:pPr>
              <w:rPr>
                <w:b/>
              </w:rPr>
            </w:pPr>
            <w:r w:rsidRPr="00545197">
              <w:rPr>
                <w:b/>
              </w:rPr>
              <w:t>Questions/Concerns based on current text:</w:t>
            </w:r>
          </w:p>
          <w:p w14:paraId="6EB9E88D" w14:textId="77777777" w:rsidR="00545197" w:rsidRPr="007A2988" w:rsidRDefault="00545197" w:rsidP="00545197">
            <w:pPr>
              <w:pStyle w:val="ListParagraph"/>
              <w:numPr>
                <w:ilvl w:val="0"/>
                <w:numId w:val="24"/>
              </w:numPr>
              <w:spacing w:after="200" w:line="276" w:lineRule="auto"/>
              <w:rPr>
                <w:b/>
              </w:rPr>
            </w:pPr>
            <w:r w:rsidRPr="00852A17">
              <w:rPr>
                <w:b/>
              </w:rPr>
              <w:t>Process for</w:t>
            </w:r>
            <w:r w:rsidRPr="007A2988">
              <w:rPr>
                <w:b/>
              </w:rPr>
              <w:t xml:space="preserve"> duplicate checking /reconciliation – </w:t>
            </w:r>
            <w:r w:rsidRPr="007A2988">
              <w:t xml:space="preserve">will the service provider have appropriate access to </w:t>
            </w:r>
            <w:proofErr w:type="spellStart"/>
            <w:r w:rsidRPr="007A2988">
              <w:t>EudraVigilance</w:t>
            </w:r>
            <w:proofErr w:type="spellEnd"/>
            <w:r w:rsidRPr="007A2988">
              <w:t xml:space="preserve"> (EV) for duplicate checking against ICSRs submitted pre-publication</w:t>
            </w:r>
            <w:r w:rsidR="005F012B">
              <w:t>?</w:t>
            </w:r>
          </w:p>
          <w:p w14:paraId="6D1B6A3F" w14:textId="77777777" w:rsidR="00545197" w:rsidRPr="007A2988" w:rsidRDefault="00545197" w:rsidP="00545197">
            <w:pPr>
              <w:pStyle w:val="ListParagraph"/>
              <w:numPr>
                <w:ilvl w:val="0"/>
                <w:numId w:val="24"/>
              </w:numPr>
              <w:spacing w:after="200" w:line="276" w:lineRule="auto"/>
              <w:rPr>
                <w:b/>
              </w:rPr>
            </w:pPr>
            <w:r w:rsidRPr="007A2988">
              <w:rPr>
                <w:b/>
              </w:rPr>
              <w:t>Reconciliation –</w:t>
            </w:r>
            <w:r w:rsidRPr="007A2988">
              <w:t xml:space="preserve"> MAHs must duplicate check against their database at download, the efficiency of which will depend on degree to which ICSRs have been privacy redacted </w:t>
            </w:r>
            <w:r w:rsidR="005F012B">
              <w:t>(</w:t>
            </w:r>
            <w:r w:rsidR="00282D58">
              <w:t>see</w:t>
            </w:r>
            <w:r w:rsidR="005F012B">
              <w:t xml:space="preserve"> detailed comments </w:t>
            </w:r>
            <w:r w:rsidR="001B41FF">
              <w:t>177-24</w:t>
            </w:r>
            <w:r w:rsidR="00005F86">
              <w:t>6</w:t>
            </w:r>
            <w:r w:rsidR="005F012B">
              <w:t>)</w:t>
            </w:r>
          </w:p>
          <w:p w14:paraId="4FC7EAFF" w14:textId="77777777" w:rsidR="00545197" w:rsidRPr="007A2988" w:rsidRDefault="00545197" w:rsidP="00545197">
            <w:pPr>
              <w:pStyle w:val="ListParagraph"/>
              <w:numPr>
                <w:ilvl w:val="0"/>
                <w:numId w:val="24"/>
              </w:numPr>
              <w:spacing w:after="200" w:line="276" w:lineRule="auto"/>
              <w:rPr>
                <w:b/>
              </w:rPr>
            </w:pPr>
            <w:r w:rsidRPr="007A2988">
              <w:rPr>
                <w:b/>
              </w:rPr>
              <w:t xml:space="preserve">Exclusion of Non-Serious  ICSRS for transition period, plus exclusion of non-serious from outside EEA  - </w:t>
            </w:r>
            <w:r w:rsidRPr="007A2988">
              <w:t>MAH</w:t>
            </w:r>
            <w:r w:rsidR="00282D58">
              <w:t>s</w:t>
            </w:r>
            <w:r w:rsidRPr="007A2988">
              <w:t xml:space="preserve"> will have to screen same literature for the non-serious, plus exclude serious for given product/journal from EV submission</w:t>
            </w:r>
          </w:p>
          <w:p w14:paraId="438F1912" w14:textId="77777777" w:rsidR="00545197" w:rsidRPr="007A2988" w:rsidRDefault="00545197" w:rsidP="00545197">
            <w:pPr>
              <w:pStyle w:val="ListParagraph"/>
              <w:numPr>
                <w:ilvl w:val="0"/>
                <w:numId w:val="24"/>
              </w:numPr>
              <w:spacing w:after="200" w:line="276" w:lineRule="auto"/>
            </w:pPr>
            <w:r w:rsidRPr="007A2988">
              <w:rPr>
                <w:b/>
              </w:rPr>
              <w:t xml:space="preserve">Exclusion of Interventional Clinical Trial ICSRs </w:t>
            </w:r>
            <w:r w:rsidRPr="007A2988">
              <w:t>- to avoid MAH having to screen same literature</w:t>
            </w:r>
          </w:p>
          <w:p w14:paraId="63C1989C" w14:textId="77777777" w:rsidR="00545197" w:rsidRPr="007A2988" w:rsidRDefault="00545197" w:rsidP="00545197">
            <w:pPr>
              <w:pStyle w:val="ListParagraph"/>
              <w:numPr>
                <w:ilvl w:val="0"/>
                <w:numId w:val="24"/>
              </w:numPr>
              <w:spacing w:after="200" w:line="276" w:lineRule="auto"/>
            </w:pPr>
            <w:r w:rsidRPr="007A2988">
              <w:rPr>
                <w:b/>
              </w:rPr>
              <w:t xml:space="preserve">Definition of suspect – </w:t>
            </w:r>
            <w:r w:rsidR="00282D58">
              <w:t xml:space="preserve">clarification needed re: </w:t>
            </w:r>
            <w:r w:rsidRPr="007A2988">
              <w:t xml:space="preserve">inclusion/exclusion if reporter states ‘probably not related’ in article </w:t>
            </w:r>
          </w:p>
          <w:p w14:paraId="1508870B" w14:textId="77777777" w:rsidR="00545197" w:rsidRPr="007A2988" w:rsidRDefault="00282D58" w:rsidP="00545197">
            <w:pPr>
              <w:pStyle w:val="ListParagraph"/>
              <w:numPr>
                <w:ilvl w:val="0"/>
                <w:numId w:val="24"/>
              </w:numPr>
              <w:spacing w:after="200" w:line="276" w:lineRule="auto"/>
              <w:rPr>
                <w:b/>
              </w:rPr>
            </w:pPr>
            <w:r>
              <w:rPr>
                <w:b/>
              </w:rPr>
              <w:t>Process for flagging</w:t>
            </w:r>
            <w:r w:rsidR="00545197" w:rsidRPr="007A2988">
              <w:rPr>
                <w:b/>
              </w:rPr>
              <w:t xml:space="preserve"> of aggregate articles </w:t>
            </w:r>
            <w:r w:rsidR="00CA5068">
              <w:rPr>
                <w:b/>
              </w:rPr>
              <w:t xml:space="preserve">with no individual identifiable </w:t>
            </w:r>
            <w:r w:rsidR="00CA5068">
              <w:rPr>
                <w:b/>
              </w:rPr>
              <w:lastRenderedPageBreak/>
              <w:t>ICSRs –</w:t>
            </w:r>
            <w:r w:rsidR="00545197" w:rsidRPr="007A2988">
              <w:rPr>
                <w:b/>
              </w:rPr>
              <w:t xml:space="preserve"> </w:t>
            </w:r>
            <w:r w:rsidRPr="00282D58">
              <w:t xml:space="preserve">or </w:t>
            </w:r>
            <w:r>
              <w:t xml:space="preserve">MAHs would </w:t>
            </w:r>
            <w:r w:rsidR="00CA5068" w:rsidRPr="00CA5068">
              <w:t xml:space="preserve">still </w:t>
            </w:r>
            <w:r>
              <w:t xml:space="preserve">need to </w:t>
            </w:r>
            <w:r w:rsidR="00CA5068" w:rsidRPr="00282D58">
              <w:t xml:space="preserve">screen </w:t>
            </w:r>
            <w:r w:rsidRPr="00282D58">
              <w:t xml:space="preserve">same journals </w:t>
            </w:r>
            <w:r w:rsidR="00545197" w:rsidRPr="00282D58">
              <w:t>for</w:t>
            </w:r>
            <w:r w:rsidR="00545197" w:rsidRPr="007A2988">
              <w:t xml:space="preserve"> PSUR </w:t>
            </w:r>
            <w:r>
              <w:t>inclusion</w:t>
            </w:r>
          </w:p>
          <w:p w14:paraId="033179D5" w14:textId="77777777" w:rsidR="00545197" w:rsidRPr="007A2988" w:rsidRDefault="00CA5068" w:rsidP="00545197">
            <w:pPr>
              <w:pStyle w:val="ListParagraph"/>
              <w:numPr>
                <w:ilvl w:val="0"/>
                <w:numId w:val="24"/>
              </w:numPr>
              <w:spacing w:after="200" w:line="276" w:lineRule="auto"/>
              <w:rPr>
                <w:b/>
              </w:rPr>
            </w:pPr>
            <w:r>
              <w:rPr>
                <w:b/>
              </w:rPr>
              <w:t>D</w:t>
            </w:r>
            <w:r w:rsidR="00545197" w:rsidRPr="007A2988">
              <w:rPr>
                <w:b/>
              </w:rPr>
              <w:t xml:space="preserve">etermination of ‘Off Label Use’ </w:t>
            </w:r>
            <w:r w:rsidR="00545197" w:rsidRPr="007A2988">
              <w:t>–</w:t>
            </w:r>
            <w:r>
              <w:t xml:space="preserve"> </w:t>
            </w:r>
            <w:r w:rsidR="00545197" w:rsidRPr="007A2988">
              <w:t>only if so stated by reporter?</w:t>
            </w:r>
          </w:p>
          <w:p w14:paraId="1C1B82C6" w14:textId="77777777" w:rsidR="00D61861" w:rsidRDefault="00545197" w:rsidP="00545197">
            <w:pPr>
              <w:pStyle w:val="ListParagraph"/>
              <w:numPr>
                <w:ilvl w:val="0"/>
                <w:numId w:val="24"/>
              </w:numPr>
              <w:spacing w:after="200" w:line="276" w:lineRule="auto"/>
            </w:pPr>
            <w:r w:rsidRPr="00D61861">
              <w:rPr>
                <w:b/>
              </w:rPr>
              <w:t xml:space="preserve">Transparency, frequency of update of search criteria </w:t>
            </w:r>
            <w:r w:rsidRPr="007A2988">
              <w:t xml:space="preserve">– no mention of access by MAH to search criteria, including process for trade names </w:t>
            </w:r>
            <w:r w:rsidR="00D61861">
              <w:t>as well as generic</w:t>
            </w:r>
          </w:p>
          <w:p w14:paraId="6674A7B8" w14:textId="77777777" w:rsidR="00545197" w:rsidRPr="007A2988" w:rsidRDefault="00545197" w:rsidP="00545197">
            <w:pPr>
              <w:pStyle w:val="ListParagraph"/>
              <w:numPr>
                <w:ilvl w:val="0"/>
                <w:numId w:val="24"/>
              </w:numPr>
              <w:spacing w:after="200" w:line="276" w:lineRule="auto"/>
            </w:pPr>
            <w:r w:rsidRPr="00D61861">
              <w:rPr>
                <w:b/>
              </w:rPr>
              <w:t>Follow-up process</w:t>
            </w:r>
            <w:r w:rsidRPr="007A2988">
              <w:t xml:space="preserve"> – further define level of follow-up/ potential overlap with MAH obligations, i.e.  where RMP commits to targeted questionnaires to reporters, who will be responsible</w:t>
            </w:r>
            <w:r w:rsidR="00282D58">
              <w:t xml:space="preserve"> (serious and non-serious)</w:t>
            </w:r>
          </w:p>
          <w:p w14:paraId="24531AC2" w14:textId="77777777" w:rsidR="00545197" w:rsidRPr="007A2988" w:rsidRDefault="00545197" w:rsidP="00545197">
            <w:pPr>
              <w:pStyle w:val="ListParagraph"/>
              <w:numPr>
                <w:ilvl w:val="0"/>
                <w:numId w:val="24"/>
              </w:numPr>
              <w:spacing w:after="200" w:line="276" w:lineRule="auto"/>
            </w:pPr>
            <w:r w:rsidRPr="007A2988">
              <w:rPr>
                <w:b/>
              </w:rPr>
              <w:t xml:space="preserve">Retransmission outside of EEA </w:t>
            </w:r>
            <w:r w:rsidR="00282D58">
              <w:t xml:space="preserve">– propose </w:t>
            </w:r>
            <w:r w:rsidRPr="007A2988">
              <w:t>Guidance state</w:t>
            </w:r>
            <w:r w:rsidR="00282D58">
              <w:t>s</w:t>
            </w:r>
            <w:r w:rsidRPr="007A2988">
              <w:t xml:space="preserve"> that, per ICH E2B A.1.6, the MAH should use the day they first received </w:t>
            </w:r>
            <w:r w:rsidR="00282D58">
              <w:t>the information from EV as Day Z</w:t>
            </w:r>
            <w:r w:rsidRPr="007A2988">
              <w:t>ero</w:t>
            </w:r>
          </w:p>
          <w:p w14:paraId="233640F2" w14:textId="77777777" w:rsidR="00545197" w:rsidRPr="007A2988" w:rsidRDefault="00545197" w:rsidP="00545197">
            <w:pPr>
              <w:rPr>
                <w:b/>
              </w:rPr>
            </w:pPr>
            <w:r w:rsidRPr="007A2988">
              <w:rPr>
                <w:b/>
              </w:rPr>
              <w:t>Missing Information:</w:t>
            </w:r>
          </w:p>
          <w:p w14:paraId="73664DCA" w14:textId="77777777" w:rsidR="00545197" w:rsidRPr="007A2988" w:rsidRDefault="00545197" w:rsidP="00545197">
            <w:pPr>
              <w:pStyle w:val="ListParagraph"/>
              <w:numPr>
                <w:ilvl w:val="0"/>
                <w:numId w:val="24"/>
              </w:numPr>
              <w:spacing w:after="200" w:line="276" w:lineRule="auto"/>
              <w:rPr>
                <w:b/>
              </w:rPr>
            </w:pPr>
            <w:r w:rsidRPr="007A2988">
              <w:rPr>
                <w:b/>
              </w:rPr>
              <w:t xml:space="preserve">Process for inclusion/exclusion of articles on combination products – </w:t>
            </w:r>
            <w:r w:rsidR="00282D58">
              <w:t>i.e. where one of the combination</w:t>
            </w:r>
            <w:r w:rsidRPr="007A2988">
              <w:t xml:space="preserve"> products is on screening list but not the other (risk of neither party or both entering)</w:t>
            </w:r>
          </w:p>
          <w:p w14:paraId="36C34255" w14:textId="77777777" w:rsidR="00545197" w:rsidRPr="007A2988" w:rsidRDefault="00545197" w:rsidP="00545197">
            <w:pPr>
              <w:pStyle w:val="ListParagraph"/>
              <w:numPr>
                <w:ilvl w:val="0"/>
                <w:numId w:val="24"/>
              </w:numPr>
              <w:spacing w:after="200" w:line="276" w:lineRule="auto"/>
              <w:rPr>
                <w:b/>
              </w:rPr>
            </w:pPr>
            <w:r w:rsidRPr="007A2988">
              <w:rPr>
                <w:b/>
              </w:rPr>
              <w:t xml:space="preserve">Suspected transmission of an infectious agent </w:t>
            </w:r>
            <w:r w:rsidRPr="007A2988">
              <w:t xml:space="preserve">– </w:t>
            </w:r>
            <w:r w:rsidR="00282D58">
              <w:t xml:space="preserve">such </w:t>
            </w:r>
            <w:r w:rsidRPr="007A2988">
              <w:t>ICSRs required</w:t>
            </w:r>
            <w:r w:rsidR="00282D58">
              <w:t xml:space="preserve"> per GVP</w:t>
            </w:r>
            <w:r w:rsidRPr="007A2988">
              <w:t xml:space="preserve"> but not </w:t>
            </w:r>
            <w:r w:rsidR="00282D58">
              <w:t xml:space="preserve">mentioned </w:t>
            </w:r>
            <w:r w:rsidRPr="007A2988">
              <w:t>in current draft</w:t>
            </w:r>
          </w:p>
          <w:p w14:paraId="7BD48BC5" w14:textId="77777777" w:rsidR="00545197" w:rsidRPr="007A2988" w:rsidRDefault="00545197" w:rsidP="00545197">
            <w:pPr>
              <w:pStyle w:val="ListParagraph"/>
              <w:numPr>
                <w:ilvl w:val="0"/>
                <w:numId w:val="24"/>
              </w:numPr>
              <w:spacing w:after="200" w:line="276" w:lineRule="auto"/>
              <w:rPr>
                <w:b/>
              </w:rPr>
            </w:pPr>
            <w:r w:rsidRPr="007A2988">
              <w:rPr>
                <w:b/>
              </w:rPr>
              <w:t xml:space="preserve">Screening for articles meeting ‘Special Situation’ criteria </w:t>
            </w:r>
            <w:r w:rsidRPr="007A2988">
              <w:t xml:space="preserve">– or </w:t>
            </w:r>
            <w:r w:rsidR="00282D58">
              <w:t xml:space="preserve">as per GVP </w:t>
            </w:r>
            <w:r w:rsidRPr="007A2988">
              <w:t xml:space="preserve">MAH will still need to screen same product/literature combinations to identify these </w:t>
            </w:r>
          </w:p>
          <w:p w14:paraId="2402FD0E" w14:textId="77777777" w:rsidR="00545197" w:rsidRPr="007A2988" w:rsidRDefault="00545197" w:rsidP="00545197">
            <w:pPr>
              <w:pStyle w:val="ListParagraph"/>
              <w:numPr>
                <w:ilvl w:val="0"/>
                <w:numId w:val="24"/>
              </w:numPr>
              <w:spacing w:after="200" w:line="276" w:lineRule="auto"/>
            </w:pPr>
            <w:r w:rsidRPr="007A2988">
              <w:rPr>
                <w:b/>
              </w:rPr>
              <w:t xml:space="preserve">Reference to excluding articles by agencies and meta-analysis - </w:t>
            </w:r>
            <w:r w:rsidRPr="007A2988">
              <w:t xml:space="preserve">i.e. exclude ‘already reported’ and ‘republished data’ </w:t>
            </w:r>
          </w:p>
          <w:p w14:paraId="21B2B890" w14:textId="77777777" w:rsidR="00545197" w:rsidRPr="007A2988" w:rsidRDefault="00545197" w:rsidP="00545197">
            <w:pPr>
              <w:pStyle w:val="ListParagraph"/>
              <w:numPr>
                <w:ilvl w:val="0"/>
                <w:numId w:val="24"/>
              </w:numPr>
              <w:spacing w:after="200" w:line="276" w:lineRule="auto"/>
            </w:pPr>
            <w:r w:rsidRPr="007A2988">
              <w:rPr>
                <w:b/>
              </w:rPr>
              <w:t xml:space="preserve">Process if an MAH disagrees with decision on inclusion/exclusion criteria for a given article </w:t>
            </w:r>
            <w:r w:rsidRPr="007A2988">
              <w:t>– i.e. if excluded but still considered reportable to agencies outside EEA</w:t>
            </w:r>
            <w:r w:rsidR="00282D58">
              <w:t xml:space="preserve"> and/or needed in database for signal detection</w:t>
            </w:r>
          </w:p>
          <w:p w14:paraId="605F21CF" w14:textId="77777777" w:rsidR="00545197" w:rsidRPr="007A2988" w:rsidRDefault="00545197" w:rsidP="00545197">
            <w:pPr>
              <w:pStyle w:val="ListParagraph"/>
              <w:numPr>
                <w:ilvl w:val="0"/>
                <w:numId w:val="24"/>
              </w:numPr>
              <w:spacing w:after="200" w:line="276" w:lineRule="auto"/>
            </w:pPr>
            <w:r w:rsidRPr="007A2988">
              <w:rPr>
                <w:b/>
              </w:rPr>
              <w:t xml:space="preserve">Process defining how/when concomitant medications within an article will be handled </w:t>
            </w:r>
            <w:r w:rsidRPr="007A2988">
              <w:t>- i.e. would they ever be ‘upgraded’ to suspect?</w:t>
            </w:r>
          </w:p>
          <w:p w14:paraId="3CA0F690" w14:textId="77777777" w:rsidR="00545197" w:rsidRDefault="00545197" w:rsidP="00545197">
            <w:pPr>
              <w:pStyle w:val="ListParagraph"/>
              <w:numPr>
                <w:ilvl w:val="0"/>
                <w:numId w:val="24"/>
              </w:numPr>
              <w:spacing w:after="200" w:line="276" w:lineRule="auto"/>
            </w:pPr>
            <w:r w:rsidRPr="007A2988">
              <w:rPr>
                <w:b/>
              </w:rPr>
              <w:t>Details on access and format for down-loading  ICSRs</w:t>
            </w:r>
            <w:r w:rsidRPr="007A2988">
              <w:t xml:space="preserve"> – i.e. what access restrictions will apply (e.g. only MAH or allow for Business Partner of MAH), technical aspects (add XML)</w:t>
            </w:r>
          </w:p>
          <w:p w14:paraId="061FCF87" w14:textId="77777777" w:rsidR="0011706E" w:rsidRPr="00545197" w:rsidRDefault="0011706E" w:rsidP="0011706E">
            <w:pPr>
              <w:pStyle w:val="ListParagraph"/>
              <w:numPr>
                <w:ilvl w:val="0"/>
                <w:numId w:val="24"/>
              </w:numPr>
              <w:spacing w:after="200" w:line="276" w:lineRule="auto"/>
            </w:pPr>
            <w:r>
              <w:rPr>
                <w:b/>
              </w:rPr>
              <w:t xml:space="preserve">The actual implementation date is unclear </w:t>
            </w:r>
            <w:r w:rsidRPr="0011706E">
              <w:t>- clarity would aid MAH preparation</w:t>
            </w:r>
          </w:p>
        </w:tc>
        <w:tc>
          <w:tcPr>
            <w:tcW w:w="1272" w:type="pct"/>
            <w:shd w:val="clear" w:color="auto" w:fill="E1E3F2"/>
          </w:tcPr>
          <w:p w14:paraId="0D692006" w14:textId="77777777" w:rsidR="00536B30" w:rsidRDefault="00536B30" w:rsidP="00DF21F5">
            <w:pPr>
              <w:pStyle w:val="TabletextrowsAgency"/>
            </w:pPr>
          </w:p>
          <w:p w14:paraId="14FE3F94" w14:textId="77777777" w:rsidR="002D2305" w:rsidRDefault="002D2305" w:rsidP="00DF21F5">
            <w:pPr>
              <w:pStyle w:val="TabletextrowsAgency"/>
            </w:pPr>
          </w:p>
        </w:tc>
      </w:tr>
    </w:tbl>
    <w:tbl>
      <w:tblPr>
        <w:tblStyle w:val="TablegridAgency"/>
        <w:tblW w:w="5000" w:type="pct"/>
        <w:tblLayout w:type="fixed"/>
        <w:tblLook w:val="01E0" w:firstRow="1" w:lastRow="1" w:firstColumn="1" w:lastColumn="1" w:noHBand="0" w:noVBand="0"/>
      </w:tblPr>
      <w:tblGrid>
        <w:gridCol w:w="2508"/>
        <w:gridCol w:w="5438"/>
        <w:gridCol w:w="6840"/>
      </w:tblGrid>
      <w:tr w:rsidR="0054348E" w14:paraId="2ECD5B25" w14:textId="77777777" w:rsidTr="0054348E">
        <w:trPr>
          <w:cnfStyle w:val="100000000000" w:firstRow="1" w:lastRow="0" w:firstColumn="0" w:lastColumn="0" w:oddVBand="0" w:evenVBand="0" w:oddHBand="0" w:evenHBand="0" w:firstRowFirstColumn="0" w:firstRowLastColumn="0" w:lastRowFirstColumn="0" w:lastRowLastColumn="0"/>
        </w:trPr>
        <w:tc>
          <w:tcPr>
            <w:tcW w:w="848" w:type="pct"/>
          </w:tcPr>
          <w:p w14:paraId="56138724" w14:textId="77777777" w:rsidR="0054348E" w:rsidRDefault="0054348E" w:rsidP="0054348E">
            <w:pPr>
              <w:pStyle w:val="TabletextrowsAgency"/>
            </w:pPr>
          </w:p>
        </w:tc>
        <w:tc>
          <w:tcPr>
            <w:tcW w:w="1839" w:type="pct"/>
          </w:tcPr>
          <w:p w14:paraId="46345BE6" w14:textId="77777777" w:rsidR="0054348E" w:rsidRDefault="0054348E" w:rsidP="0054348E">
            <w:pPr>
              <w:spacing w:line="280" w:lineRule="exact"/>
            </w:pPr>
          </w:p>
        </w:tc>
        <w:tc>
          <w:tcPr>
            <w:tcW w:w="2313" w:type="pct"/>
          </w:tcPr>
          <w:p w14:paraId="61B66F01" w14:textId="77777777" w:rsidR="0054348E" w:rsidRDefault="0054348E" w:rsidP="0054348E">
            <w:pPr>
              <w:pStyle w:val="TabletextrowsAgency"/>
            </w:pPr>
          </w:p>
        </w:tc>
      </w:tr>
    </w:tbl>
    <w:p w14:paraId="172E75DB" w14:textId="77777777" w:rsidR="0054348E" w:rsidRDefault="0054348E" w:rsidP="0054348E">
      <w:pPr>
        <w:pStyle w:val="BodytextAgency"/>
      </w:pPr>
    </w:p>
    <w:p w14:paraId="6C6C1D1C" w14:textId="77777777" w:rsidR="0054348E" w:rsidRPr="00B822FC" w:rsidRDefault="0054348E" w:rsidP="00E72B56">
      <w:pPr>
        <w:pStyle w:val="Heading1Agency"/>
        <w:pageBreakBefore/>
        <w:numPr>
          <w:ilvl w:val="0"/>
          <w:numId w:val="2"/>
        </w:numPr>
      </w:pPr>
      <w:r w:rsidRPr="00B822FC">
        <w:lastRenderedPageBreak/>
        <w:t>Specific comments on text</w:t>
      </w:r>
    </w:p>
    <w:tbl>
      <w:tblPr>
        <w:tblStyle w:val="TablegridAgency"/>
        <w:tblW w:w="5000" w:type="pct"/>
        <w:tblLayout w:type="fixed"/>
        <w:tblLook w:val="01E0" w:firstRow="1" w:lastRow="1" w:firstColumn="1" w:lastColumn="1" w:noHBand="0" w:noVBand="0"/>
      </w:tblPr>
      <w:tblGrid>
        <w:gridCol w:w="1908"/>
        <w:gridCol w:w="2401"/>
        <w:gridCol w:w="5932"/>
        <w:gridCol w:w="4545"/>
      </w:tblGrid>
      <w:tr w:rsidR="0054348E" w:rsidRPr="00F30925" w14:paraId="472CBB16" w14:textId="77777777" w:rsidTr="0098451C">
        <w:trPr>
          <w:cnfStyle w:val="100000000000" w:firstRow="1" w:lastRow="0" w:firstColumn="0" w:lastColumn="0" w:oddVBand="0" w:evenVBand="0" w:oddHBand="0" w:evenHBand="0" w:firstRowFirstColumn="0" w:firstRowLastColumn="0" w:lastRowFirstColumn="0" w:lastRowLastColumn="0"/>
        </w:trPr>
        <w:tc>
          <w:tcPr>
            <w:tcW w:w="645" w:type="pct"/>
          </w:tcPr>
          <w:p w14:paraId="0AA5B11D" w14:textId="77777777" w:rsidR="0054348E" w:rsidRDefault="0054348E" w:rsidP="0054348E">
            <w:pPr>
              <w:pStyle w:val="TableheadingrowsAgency"/>
            </w:pPr>
            <w:r w:rsidRPr="00F30925">
              <w:t xml:space="preserve">Line </w:t>
            </w:r>
            <w:r>
              <w:t>number(s)</w:t>
            </w:r>
            <w:r w:rsidRPr="00F30925">
              <w:t xml:space="preserve"> of the </w:t>
            </w:r>
            <w:r>
              <w:t>relevant text</w:t>
            </w:r>
          </w:p>
          <w:p w14:paraId="1188556B" w14:textId="77777777" w:rsidR="0054348E" w:rsidRPr="00561BA0" w:rsidRDefault="0054348E" w:rsidP="0054348E">
            <w:pPr>
              <w:pStyle w:val="TableheadingrowsAgency"/>
              <w:rPr>
                <w:i/>
                <w:color w:val="339966"/>
              </w:rPr>
            </w:pPr>
            <w:r>
              <w:rPr>
                <w:i/>
                <w:color w:val="339966"/>
              </w:rPr>
              <w:t>(</w:t>
            </w:r>
            <w:r w:rsidRPr="00561BA0">
              <w:rPr>
                <w:i/>
                <w:color w:val="339966"/>
              </w:rPr>
              <w:t>e.g. Line</w:t>
            </w:r>
            <w:r>
              <w:rPr>
                <w:i/>
                <w:color w:val="339966"/>
              </w:rPr>
              <w:t>s</w:t>
            </w:r>
            <w:r w:rsidRPr="00561BA0">
              <w:rPr>
                <w:i/>
                <w:color w:val="339966"/>
              </w:rPr>
              <w:t xml:space="preserve"> 20-23</w:t>
            </w:r>
            <w:r>
              <w:rPr>
                <w:i/>
                <w:color w:val="339966"/>
              </w:rPr>
              <w:t>)</w:t>
            </w:r>
          </w:p>
        </w:tc>
        <w:tc>
          <w:tcPr>
            <w:tcW w:w="812" w:type="pct"/>
          </w:tcPr>
          <w:p w14:paraId="36419FF8" w14:textId="77777777" w:rsidR="0054348E" w:rsidRPr="004E08AB" w:rsidRDefault="0054348E" w:rsidP="0054348E">
            <w:pPr>
              <w:pStyle w:val="TableheadingrowsAgency"/>
              <w:rPr>
                <w:color w:val="FF0000"/>
              </w:rPr>
            </w:pPr>
            <w:r>
              <w:t>Stakeholder</w:t>
            </w:r>
            <w:r w:rsidR="00A70515">
              <w:t xml:space="preserve"> </w:t>
            </w:r>
          </w:p>
          <w:p w14:paraId="0EA2CC7B" w14:textId="77777777" w:rsidR="0054348E" w:rsidRDefault="0054348E" w:rsidP="00EF2A21">
            <w:pPr>
              <w:pStyle w:val="TableheadingrowsAgency"/>
            </w:pPr>
          </w:p>
        </w:tc>
        <w:tc>
          <w:tcPr>
            <w:tcW w:w="2006" w:type="pct"/>
          </w:tcPr>
          <w:p w14:paraId="168B46EE" w14:textId="77777777" w:rsidR="0054348E" w:rsidRDefault="0054348E" w:rsidP="0054348E">
            <w:pPr>
              <w:pStyle w:val="TableheadingrowsAgency"/>
            </w:pPr>
            <w:r>
              <w:t>Comment and r</w:t>
            </w:r>
            <w:r w:rsidRPr="00F30925">
              <w:t>ationale; proposed changes</w:t>
            </w:r>
          </w:p>
          <w:p w14:paraId="782CCD6F" w14:textId="77777777" w:rsidR="0054348E" w:rsidRPr="00561BA0" w:rsidRDefault="0054348E" w:rsidP="0054348E">
            <w:pPr>
              <w:pStyle w:val="TableheadingrowsAgency"/>
              <w:rPr>
                <w:i/>
                <w:color w:val="339966"/>
              </w:rPr>
            </w:pPr>
            <w:r>
              <w:rPr>
                <w:i/>
                <w:color w:val="339966"/>
              </w:rPr>
              <w:t>(I</w:t>
            </w:r>
            <w:r w:rsidRPr="00561BA0">
              <w:rPr>
                <w:i/>
                <w:color w:val="339966"/>
              </w:rPr>
              <w:t>f changes to the wording are suggested, they should be hi</w:t>
            </w:r>
            <w:r>
              <w:rPr>
                <w:i/>
                <w:color w:val="339966"/>
              </w:rPr>
              <w:t>ghlighted using '</w:t>
            </w:r>
            <w:r w:rsidRPr="00561BA0">
              <w:rPr>
                <w:i/>
                <w:color w:val="339966"/>
              </w:rPr>
              <w:t>track changes</w:t>
            </w:r>
            <w:r>
              <w:rPr>
                <w:i/>
                <w:color w:val="339966"/>
              </w:rPr>
              <w:t>')</w:t>
            </w:r>
          </w:p>
        </w:tc>
        <w:tc>
          <w:tcPr>
            <w:tcW w:w="1537" w:type="pct"/>
          </w:tcPr>
          <w:p w14:paraId="69D20545" w14:textId="77777777" w:rsidR="0054348E" w:rsidRPr="004E08AB" w:rsidRDefault="004E08AB" w:rsidP="0054348E">
            <w:pPr>
              <w:pStyle w:val="TableheadingrowsAgency"/>
              <w:rPr>
                <w:color w:val="FFFFFF" w:themeColor="background1"/>
                <w:sz w:val="22"/>
              </w:rPr>
            </w:pPr>
            <w:r w:rsidRPr="004E08AB">
              <w:rPr>
                <w:color w:val="FFFFFF" w:themeColor="background1"/>
                <w:sz w:val="22"/>
              </w:rPr>
              <w:t>T</w:t>
            </w:r>
            <w:r>
              <w:rPr>
                <w:color w:val="FFFFFF" w:themeColor="background1"/>
                <w:sz w:val="22"/>
              </w:rPr>
              <w:t>OPIC/</w:t>
            </w:r>
            <w:r w:rsidR="00EF2A21">
              <w:t xml:space="preserve">Required </w:t>
            </w:r>
            <w:r w:rsidR="0054348E" w:rsidRPr="00F30925">
              <w:t>Outcome</w:t>
            </w:r>
          </w:p>
          <w:p w14:paraId="39212246" w14:textId="77777777" w:rsidR="0054348E" w:rsidRPr="00F30925" w:rsidRDefault="0054348E" w:rsidP="0054348E">
            <w:pPr>
              <w:pStyle w:val="TableheadingrowsAgency"/>
            </w:pPr>
          </w:p>
        </w:tc>
      </w:tr>
    </w:tbl>
    <w:tbl>
      <w:tblPr>
        <w:tblW w:w="4974"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1"/>
        <w:gridCol w:w="4469"/>
      </w:tblGrid>
      <w:tr w:rsidR="004E5142" w14:paraId="40655D84" w14:textId="77777777" w:rsidTr="00D73F3F">
        <w:tc>
          <w:tcPr>
            <w:tcW w:w="649" w:type="pct"/>
            <w:shd w:val="clear" w:color="auto" w:fill="E1E3F2"/>
          </w:tcPr>
          <w:p w14:paraId="1A1204CD" w14:textId="77777777" w:rsidR="004E5142" w:rsidRDefault="004E5142" w:rsidP="003D1E4E">
            <w:pPr>
              <w:pStyle w:val="TabletextrowsAgency"/>
            </w:pPr>
            <w:r>
              <w:t>82-93</w:t>
            </w:r>
          </w:p>
          <w:p w14:paraId="404EDCBA" w14:textId="77777777" w:rsidR="004E5142" w:rsidRDefault="004E5142" w:rsidP="003D1E4E">
            <w:pPr>
              <w:pStyle w:val="TabletextrowsAgency"/>
            </w:pPr>
            <w:r>
              <w:t>94-120</w:t>
            </w:r>
          </w:p>
        </w:tc>
        <w:tc>
          <w:tcPr>
            <w:tcW w:w="816" w:type="pct"/>
            <w:shd w:val="clear" w:color="auto" w:fill="E1E3F2"/>
          </w:tcPr>
          <w:p w14:paraId="2C76A483" w14:textId="77777777" w:rsidR="00E41365" w:rsidRDefault="001B41FF" w:rsidP="003D1E4E">
            <w:pPr>
              <w:pStyle w:val="TabletextrowsAgency"/>
            </w:pPr>
            <w:r>
              <w:t>EFPIA</w:t>
            </w:r>
          </w:p>
        </w:tc>
        <w:tc>
          <w:tcPr>
            <w:tcW w:w="2016" w:type="pct"/>
            <w:shd w:val="clear" w:color="auto" w:fill="E1E3F2"/>
          </w:tcPr>
          <w:p w14:paraId="5E92005E" w14:textId="77777777" w:rsidR="000B455E" w:rsidRDefault="00F24BDF" w:rsidP="003D1E4E">
            <w:pPr>
              <w:pStyle w:val="ListParagraph"/>
              <w:spacing w:line="280" w:lineRule="exact"/>
              <w:ind w:left="0"/>
              <w:rPr>
                <w:rFonts w:cs="Calibri"/>
                <w:lang w:val="en-US"/>
              </w:rPr>
            </w:pPr>
            <w:r w:rsidRPr="00F24BDF">
              <w:rPr>
                <w:b/>
              </w:rPr>
              <w:t>Comment:</w:t>
            </w:r>
            <w:r>
              <w:rPr>
                <w:b/>
              </w:rPr>
              <w:t xml:space="preserve"> </w:t>
            </w:r>
            <w:r w:rsidR="004E5142" w:rsidRPr="006C42A7">
              <w:t xml:space="preserve">Regarding the </w:t>
            </w:r>
            <w:r w:rsidR="004E5142" w:rsidRPr="006C42A7">
              <w:rPr>
                <w:rFonts w:cs="Calibri"/>
                <w:lang w:val="en-US"/>
              </w:rPr>
              <w:t xml:space="preserve">list of active substances and literature </w:t>
            </w:r>
            <w:r w:rsidR="00AB66E4">
              <w:rPr>
                <w:rFonts w:cs="Calibri"/>
                <w:lang w:val="en-US"/>
              </w:rPr>
              <w:t>to be monitored</w:t>
            </w:r>
            <w:r w:rsidR="004E5142" w:rsidRPr="006C42A7">
              <w:rPr>
                <w:rFonts w:cs="Calibri"/>
                <w:lang w:val="en-US"/>
              </w:rPr>
              <w:t>, will the MAHs have the opportunity to comment on/suggest amendments to the list? </w:t>
            </w:r>
          </w:p>
          <w:p w14:paraId="2224FAA1" w14:textId="77777777" w:rsidR="004E5142" w:rsidRDefault="000B455E" w:rsidP="003D1E4E">
            <w:pPr>
              <w:pStyle w:val="ListParagraph"/>
              <w:spacing w:line="280" w:lineRule="exact"/>
              <w:ind w:left="0"/>
              <w:rPr>
                <w:rFonts w:cs="Calibri"/>
                <w:lang w:val="en-US"/>
              </w:rPr>
            </w:pPr>
            <w:r w:rsidRPr="001B1FFB">
              <w:t xml:space="preserve">Clarification </w:t>
            </w:r>
            <w:r>
              <w:t xml:space="preserve">needed </w:t>
            </w:r>
            <w:r w:rsidRPr="001B1FFB">
              <w:t xml:space="preserve">of how ICSRs </w:t>
            </w:r>
            <w:r>
              <w:t xml:space="preserve">will be </w:t>
            </w:r>
            <w:r w:rsidRPr="001B1FFB">
              <w:t>handled when AEs are implicated with multiple substances in the article</w:t>
            </w:r>
          </w:p>
          <w:p w14:paraId="7FAFBC37" w14:textId="77777777" w:rsidR="00F24BDF" w:rsidRPr="00D1249E" w:rsidRDefault="003D1E4E" w:rsidP="0003034F">
            <w:pPr>
              <w:pStyle w:val="TabletextrowsAgency"/>
              <w:rPr>
                <w:rFonts w:cs="Calibri"/>
                <w:lang w:val="en-US"/>
              </w:rPr>
            </w:pPr>
            <w:r w:rsidRPr="003D1E4E">
              <w:rPr>
                <w:rFonts w:cs="Calibri"/>
                <w:b/>
                <w:lang w:val="en-US"/>
              </w:rPr>
              <w:t>Proposed change</w:t>
            </w:r>
            <w:r w:rsidR="0003034F">
              <w:rPr>
                <w:rFonts w:cs="Calibri"/>
                <w:b/>
                <w:lang w:val="en-US"/>
              </w:rPr>
              <w:t xml:space="preserve">: </w:t>
            </w:r>
            <w:r w:rsidR="000B455E">
              <w:t>Confi</w:t>
            </w:r>
            <w:r w:rsidR="0003034F">
              <w:t xml:space="preserve">rm MAHs will have </w:t>
            </w:r>
            <w:r w:rsidR="00AB66E4">
              <w:t xml:space="preserve">opportunity to comment on </w:t>
            </w:r>
            <w:r w:rsidRPr="006C42A7">
              <w:t xml:space="preserve">list of </w:t>
            </w:r>
            <w:r w:rsidRPr="006C42A7">
              <w:rPr>
                <w:rFonts w:cs="Calibri"/>
                <w:lang w:val="en-US"/>
              </w:rPr>
              <w:t xml:space="preserve">active substances and literature </w:t>
            </w:r>
          </w:p>
        </w:tc>
        <w:tc>
          <w:tcPr>
            <w:tcW w:w="1519" w:type="pct"/>
            <w:shd w:val="clear" w:color="auto" w:fill="E1E3F2"/>
          </w:tcPr>
          <w:p w14:paraId="13D47FFF" w14:textId="77777777" w:rsidR="00E92ACB" w:rsidRDefault="00E92ACB" w:rsidP="003D1E4E">
            <w:pPr>
              <w:pStyle w:val="TabletextrowsAgency"/>
            </w:pPr>
            <w:r>
              <w:t>Literature</w:t>
            </w:r>
            <w:r w:rsidR="004E08AB">
              <w:t>:</w:t>
            </w:r>
          </w:p>
          <w:p w14:paraId="5A3F1068" w14:textId="77777777" w:rsidR="004E5142" w:rsidRPr="00561BA0" w:rsidRDefault="00D1249E" w:rsidP="003D1E4E">
            <w:pPr>
              <w:pStyle w:val="TabletextrowsAgency"/>
            </w:pPr>
            <w:r w:rsidRPr="006C42A7">
              <w:t xml:space="preserve">MAHs will have the opportunity to comment on the list of </w:t>
            </w:r>
            <w:r w:rsidRPr="006C42A7">
              <w:rPr>
                <w:rFonts w:cs="Calibri"/>
                <w:lang w:val="en-US"/>
              </w:rPr>
              <w:t>active substances and literature that the agency is monitoring</w:t>
            </w:r>
            <w:r>
              <w:rPr>
                <w:rFonts w:cs="Calibri"/>
                <w:lang w:val="en-US"/>
              </w:rPr>
              <w:t>, if applicable.</w:t>
            </w:r>
          </w:p>
        </w:tc>
      </w:tr>
      <w:tr w:rsidR="00A85C0A" w14:paraId="24D1DAA4" w14:textId="77777777" w:rsidTr="00D73F3F">
        <w:tc>
          <w:tcPr>
            <w:tcW w:w="649" w:type="pct"/>
            <w:shd w:val="clear" w:color="auto" w:fill="E1E3F2"/>
          </w:tcPr>
          <w:p w14:paraId="0BC174D6" w14:textId="77777777" w:rsidR="00A85C0A" w:rsidRDefault="00A85C0A" w:rsidP="003D1E4E">
            <w:pPr>
              <w:pStyle w:val="TabletextrowsAgency"/>
            </w:pPr>
            <w:r>
              <w:t>94-120</w:t>
            </w:r>
          </w:p>
        </w:tc>
        <w:tc>
          <w:tcPr>
            <w:tcW w:w="816" w:type="pct"/>
            <w:shd w:val="clear" w:color="auto" w:fill="E1E3F2"/>
          </w:tcPr>
          <w:p w14:paraId="17ABEE17" w14:textId="77777777" w:rsidR="00A85C0A" w:rsidRDefault="001B41FF" w:rsidP="003D1E4E">
            <w:pPr>
              <w:pStyle w:val="TabletextrowsAgency"/>
            </w:pPr>
            <w:r>
              <w:t>EFPIA</w:t>
            </w:r>
          </w:p>
        </w:tc>
        <w:tc>
          <w:tcPr>
            <w:tcW w:w="2016" w:type="pct"/>
            <w:shd w:val="clear" w:color="auto" w:fill="E1E3F2"/>
          </w:tcPr>
          <w:p w14:paraId="39D9B29C" w14:textId="77777777" w:rsidR="006D0F1D" w:rsidRPr="00AB66E4" w:rsidRDefault="00A85C0A" w:rsidP="003173DD">
            <w:pPr>
              <w:spacing w:line="280" w:lineRule="exact"/>
              <w:rPr>
                <w:rFonts w:eastAsia="Times New Roman"/>
                <w:b/>
              </w:rPr>
            </w:pPr>
            <w:r>
              <w:rPr>
                <w:rFonts w:eastAsia="Times New Roman"/>
                <w:b/>
              </w:rPr>
              <w:t xml:space="preserve">Comments: </w:t>
            </w:r>
            <w:r w:rsidRPr="00A85C0A">
              <w:rPr>
                <w:rFonts w:eastAsia="Times New Roman"/>
              </w:rPr>
              <w:t>It seems the Agency will not screen for</w:t>
            </w:r>
            <w:r w:rsidR="003173DD">
              <w:rPr>
                <w:rFonts w:eastAsia="Times New Roman"/>
              </w:rPr>
              <w:t xml:space="preserve"> special situations,  i.e.</w:t>
            </w:r>
            <w:r w:rsidR="00AB66E4">
              <w:rPr>
                <w:rFonts w:eastAsia="Times New Roman"/>
              </w:rPr>
              <w:t xml:space="preserve"> </w:t>
            </w:r>
            <w:r w:rsidR="003173DD">
              <w:rPr>
                <w:rFonts w:eastAsia="Times New Roman"/>
              </w:rPr>
              <w:t>I</w:t>
            </w:r>
            <w:r w:rsidRPr="00A85C0A">
              <w:rPr>
                <w:rFonts w:eastAsia="Times New Roman"/>
              </w:rPr>
              <w:t>nformation on non-human data that ar</w:t>
            </w:r>
            <w:r w:rsidR="003173DD">
              <w:rPr>
                <w:rFonts w:eastAsia="Times New Roman"/>
              </w:rPr>
              <w:t>e relevant for human safety; Drug exposure during pregnancy with normal birth outcome ; S</w:t>
            </w:r>
            <w:r w:rsidRPr="00A85C0A">
              <w:rPr>
                <w:rFonts w:eastAsia="Times New Roman"/>
              </w:rPr>
              <w:t>uspected adverse reactions from intervent</w:t>
            </w:r>
            <w:r w:rsidR="003173DD">
              <w:rPr>
                <w:rFonts w:eastAsia="Times New Roman"/>
              </w:rPr>
              <w:t>ional trials that are published</w:t>
            </w:r>
          </w:p>
          <w:p w14:paraId="6FA5E4BC" w14:textId="77777777" w:rsidR="00A85C0A" w:rsidRPr="006D0F1D" w:rsidRDefault="006D0F1D" w:rsidP="009C15DB">
            <w:pPr>
              <w:spacing w:line="280" w:lineRule="exact"/>
              <w:rPr>
                <w:rFonts w:eastAsia="Times New Roman"/>
              </w:rPr>
            </w:pPr>
            <w:r w:rsidRPr="00536B30">
              <w:rPr>
                <w:b/>
              </w:rPr>
              <w:t>Proposed change</w:t>
            </w:r>
            <w:r w:rsidR="009C15DB">
              <w:rPr>
                <w:b/>
              </w:rPr>
              <w:t xml:space="preserve">: </w:t>
            </w:r>
            <w:r>
              <w:rPr>
                <w:rFonts w:eastAsia="Times New Roman"/>
              </w:rPr>
              <w:t xml:space="preserve">Clarify how </w:t>
            </w:r>
            <w:r w:rsidR="00A85C0A" w:rsidRPr="00A85C0A">
              <w:rPr>
                <w:rFonts w:eastAsia="Times New Roman"/>
              </w:rPr>
              <w:t xml:space="preserve">this </w:t>
            </w:r>
            <w:r w:rsidRPr="00A85C0A">
              <w:rPr>
                <w:rFonts w:eastAsia="Times New Roman"/>
              </w:rPr>
              <w:t xml:space="preserve">will </w:t>
            </w:r>
            <w:r w:rsidR="00A85C0A" w:rsidRPr="00A85C0A">
              <w:rPr>
                <w:rFonts w:eastAsia="Times New Roman"/>
              </w:rPr>
              <w:t>be achieved without the MAHs duplicating the screening of the journals</w:t>
            </w:r>
            <w:r w:rsidR="003173DD">
              <w:rPr>
                <w:rFonts w:eastAsia="Times New Roman"/>
              </w:rPr>
              <w:t xml:space="preserve"> already screened by the Agency</w:t>
            </w:r>
            <w:r w:rsidR="00A85C0A" w:rsidRPr="00A85C0A">
              <w:rPr>
                <w:rFonts w:eastAsia="Times New Roman"/>
              </w:rPr>
              <w:t xml:space="preserve">                                                                                                                       </w:t>
            </w:r>
          </w:p>
        </w:tc>
        <w:tc>
          <w:tcPr>
            <w:tcW w:w="1519" w:type="pct"/>
            <w:shd w:val="clear" w:color="auto" w:fill="E1E3F2"/>
          </w:tcPr>
          <w:p w14:paraId="4A44E6E0" w14:textId="77777777" w:rsidR="00E92ACB" w:rsidRDefault="00E92ACB" w:rsidP="003D1E4E">
            <w:pPr>
              <w:pStyle w:val="TabletextrowsAgency"/>
            </w:pPr>
            <w:r>
              <w:t>Special Situations</w:t>
            </w:r>
            <w:r w:rsidR="004E08AB">
              <w:t>:</w:t>
            </w:r>
          </w:p>
          <w:p w14:paraId="5059EC7A" w14:textId="77777777" w:rsidR="00A85C0A" w:rsidRPr="004E5142" w:rsidRDefault="004E08AB" w:rsidP="004E08AB">
            <w:pPr>
              <w:pStyle w:val="TabletextrowsAgency"/>
            </w:pPr>
            <w:r>
              <w:t>Avoid Duplication of effort / Compliance</w:t>
            </w:r>
            <w:r w:rsidR="00004842" w:rsidRPr="003173DD">
              <w:t xml:space="preserve">  </w:t>
            </w:r>
          </w:p>
        </w:tc>
      </w:tr>
      <w:tr w:rsidR="00DF21F5" w14:paraId="71E80879" w14:textId="77777777" w:rsidTr="00D73F3F">
        <w:tc>
          <w:tcPr>
            <w:tcW w:w="649" w:type="pct"/>
            <w:shd w:val="clear" w:color="auto" w:fill="E1E3F2"/>
          </w:tcPr>
          <w:p w14:paraId="21BD82A6" w14:textId="77777777" w:rsidR="00DF21F5" w:rsidRDefault="00DF21F5" w:rsidP="003D1E4E">
            <w:pPr>
              <w:pStyle w:val="TabletextrowsAgency"/>
            </w:pPr>
            <w:r>
              <w:t>100</w:t>
            </w:r>
          </w:p>
        </w:tc>
        <w:tc>
          <w:tcPr>
            <w:tcW w:w="816" w:type="pct"/>
            <w:shd w:val="clear" w:color="auto" w:fill="E1E3F2"/>
          </w:tcPr>
          <w:p w14:paraId="7E49CF33" w14:textId="77777777" w:rsidR="00DF21F5" w:rsidRDefault="001B41FF" w:rsidP="003D1E4E">
            <w:pPr>
              <w:pStyle w:val="TabletextrowsAgency"/>
            </w:pPr>
            <w:r>
              <w:t>EFPIA</w:t>
            </w:r>
          </w:p>
        </w:tc>
        <w:tc>
          <w:tcPr>
            <w:tcW w:w="2016" w:type="pct"/>
            <w:shd w:val="clear" w:color="auto" w:fill="E1E3F2"/>
          </w:tcPr>
          <w:p w14:paraId="709EE0DE" w14:textId="77777777" w:rsidR="00DF21F5" w:rsidRPr="00AB66E4" w:rsidRDefault="00DF21F5" w:rsidP="00DF21F5">
            <w:pPr>
              <w:pStyle w:val="TabletextrowsAgency"/>
              <w:rPr>
                <w:b/>
              </w:rPr>
            </w:pPr>
            <w:r w:rsidRPr="00DF21F5">
              <w:rPr>
                <w:b/>
              </w:rPr>
              <w:t xml:space="preserve">Comment: </w:t>
            </w:r>
            <w:r w:rsidR="00AB66E4">
              <w:rPr>
                <w:b/>
              </w:rPr>
              <w:t xml:space="preserve"> </w:t>
            </w:r>
            <w:r w:rsidRPr="00BD5AEE">
              <w:t xml:space="preserve">The </w:t>
            </w:r>
            <w:r>
              <w:t xml:space="preserve">draft </w:t>
            </w:r>
            <w:r w:rsidRPr="00BD5AEE">
              <w:t>guidance</w:t>
            </w:r>
            <w:r>
              <w:t xml:space="preserve"> as well as </w:t>
            </w:r>
            <w:r w:rsidRPr="00BD5AEE">
              <w:t xml:space="preserve">GVP </w:t>
            </w:r>
            <w:r>
              <w:t>module VI does</w:t>
            </w:r>
            <w:r w:rsidRPr="00BD5AEE">
              <w:t xml:space="preserve">n’t clearly specify when multiple cases should be created rather than single cases. </w:t>
            </w:r>
          </w:p>
          <w:p w14:paraId="1A25A2E8" w14:textId="77777777" w:rsidR="00DF21F5" w:rsidRPr="002D2305" w:rsidRDefault="009C15DB" w:rsidP="002D2305">
            <w:pPr>
              <w:pStyle w:val="TabletextrowsAgency"/>
              <w:rPr>
                <w:b/>
                <w:u w:val="single"/>
              </w:rPr>
            </w:pPr>
            <w:r>
              <w:rPr>
                <w:b/>
                <w:u w:val="single"/>
              </w:rPr>
              <w:t>Proposed change</w:t>
            </w:r>
            <w:r w:rsidR="00DF21F5" w:rsidRPr="00DF21F5">
              <w:rPr>
                <w:b/>
                <w:u w:val="single"/>
              </w:rPr>
              <w:t xml:space="preserve">: </w:t>
            </w:r>
            <w:r w:rsidR="00DF21F5" w:rsidRPr="00CD1A7D">
              <w:t>To add:</w:t>
            </w:r>
            <w:r w:rsidR="00DF21F5">
              <w:t>-</w:t>
            </w:r>
            <w:r w:rsidR="00DF21F5" w:rsidRPr="00BD5AEE">
              <w:t xml:space="preserve"> Multiple cases of suspected adverse reactions will be created when there isn’t one single identifiable patient characterised by initials, patient identification number, date of birth, age, age group or gender.</w:t>
            </w:r>
          </w:p>
        </w:tc>
        <w:tc>
          <w:tcPr>
            <w:tcW w:w="1519" w:type="pct"/>
            <w:shd w:val="clear" w:color="auto" w:fill="E1E3F2"/>
          </w:tcPr>
          <w:p w14:paraId="30E7544E" w14:textId="77777777" w:rsidR="00E92ACB" w:rsidRDefault="00E92ACB" w:rsidP="009C15DB">
            <w:pPr>
              <w:pStyle w:val="TabletextrowsAgency"/>
            </w:pPr>
            <w:r>
              <w:t>Aggregate Data</w:t>
            </w:r>
            <w:r w:rsidR="004E08AB">
              <w:t>:</w:t>
            </w:r>
          </w:p>
          <w:p w14:paraId="359A0CC1" w14:textId="77777777" w:rsidR="00DF21F5" w:rsidRPr="001B1FFB" w:rsidRDefault="00004842" w:rsidP="009C15DB">
            <w:pPr>
              <w:pStyle w:val="TabletextrowsAgency"/>
            </w:pPr>
            <w:r>
              <w:t>W</w:t>
            </w:r>
            <w:r w:rsidRPr="00BD5AEE">
              <w:t xml:space="preserve">e recommend </w:t>
            </w:r>
            <w:r>
              <w:t xml:space="preserve">to provide a position and to </w:t>
            </w:r>
            <w:r w:rsidRPr="00BD5AEE">
              <w:t xml:space="preserve">update </w:t>
            </w:r>
            <w:r>
              <w:t xml:space="preserve">these documents </w:t>
            </w:r>
            <w:r w:rsidRPr="00BD5AEE">
              <w:t xml:space="preserve">in order to ensure consistency in the </w:t>
            </w:r>
            <w:r>
              <w:t xml:space="preserve">data entry </w:t>
            </w:r>
            <w:r w:rsidRPr="00BD5AEE">
              <w:t>process</w:t>
            </w:r>
          </w:p>
        </w:tc>
      </w:tr>
      <w:tr w:rsidR="00442AC6" w14:paraId="31492F3D" w14:textId="77777777" w:rsidTr="00D73F3F">
        <w:tc>
          <w:tcPr>
            <w:tcW w:w="649" w:type="pct"/>
            <w:shd w:val="clear" w:color="auto" w:fill="E1E3F2"/>
          </w:tcPr>
          <w:p w14:paraId="6D9A0B48" w14:textId="77777777" w:rsidR="00442AC6" w:rsidRDefault="00442AC6" w:rsidP="00E67FDD">
            <w:pPr>
              <w:pStyle w:val="TabletextrowsAgency"/>
            </w:pPr>
            <w:r>
              <w:t>100-109</w:t>
            </w:r>
          </w:p>
        </w:tc>
        <w:tc>
          <w:tcPr>
            <w:tcW w:w="816" w:type="pct"/>
            <w:shd w:val="clear" w:color="auto" w:fill="E1E3F2"/>
          </w:tcPr>
          <w:p w14:paraId="49AFB6C7" w14:textId="77777777" w:rsidR="00442AC6" w:rsidRDefault="001B41FF" w:rsidP="00DF21F5">
            <w:pPr>
              <w:pStyle w:val="TabletextrowsAgency"/>
            </w:pPr>
            <w:r>
              <w:t>EFPIA</w:t>
            </w:r>
          </w:p>
        </w:tc>
        <w:tc>
          <w:tcPr>
            <w:tcW w:w="2016" w:type="pct"/>
            <w:shd w:val="clear" w:color="auto" w:fill="E1E3F2"/>
          </w:tcPr>
          <w:p w14:paraId="7503C03D" w14:textId="77777777" w:rsidR="004E738E" w:rsidRDefault="00AB66E4" w:rsidP="004E738E">
            <w:pPr>
              <w:pStyle w:val="TabletextrowsAgency"/>
              <w:rPr>
                <w:rFonts w:cs="Tahoma"/>
                <w:color w:val="000000"/>
                <w:lang w:eastAsia="en-GB"/>
              </w:rPr>
            </w:pPr>
            <w:r>
              <w:rPr>
                <w:b/>
              </w:rPr>
              <w:t>Comment</w:t>
            </w:r>
            <w:r w:rsidR="00442AC6" w:rsidRPr="00442AC6">
              <w:rPr>
                <w:b/>
              </w:rPr>
              <w:t>:</w:t>
            </w:r>
            <w:r>
              <w:rPr>
                <w:b/>
              </w:rPr>
              <w:t xml:space="preserve"> </w:t>
            </w:r>
            <w:r w:rsidR="00442AC6" w:rsidRPr="00442AC6">
              <w:rPr>
                <w:rFonts w:cs="Tahoma"/>
                <w:color w:val="000000"/>
                <w:lang w:eastAsia="en-GB"/>
              </w:rPr>
              <w:t xml:space="preserve">Will the agency perform duplicate checks </w:t>
            </w:r>
            <w:r w:rsidR="0007759E">
              <w:rPr>
                <w:rFonts w:cs="Tahoma"/>
                <w:color w:val="000000"/>
                <w:lang w:eastAsia="en-GB"/>
              </w:rPr>
              <w:t xml:space="preserve">against EV </w:t>
            </w:r>
            <w:r w:rsidR="00442AC6" w:rsidRPr="00442AC6">
              <w:rPr>
                <w:rFonts w:cs="Tahoma"/>
                <w:color w:val="000000"/>
                <w:lang w:eastAsia="en-GB"/>
              </w:rPr>
              <w:t>to ensure case not previously reported by MAH during the actual study?</w:t>
            </w:r>
            <w:r w:rsidR="00E37326">
              <w:rPr>
                <w:b/>
              </w:rPr>
              <w:t xml:space="preserve"> </w:t>
            </w:r>
            <w:r w:rsidR="00442AC6" w:rsidRPr="00442AC6">
              <w:rPr>
                <w:rFonts w:cs="Tahoma"/>
                <w:color w:val="000000"/>
                <w:lang w:eastAsia="en-GB"/>
              </w:rPr>
              <w:t xml:space="preserve">Will the agency </w:t>
            </w:r>
            <w:r w:rsidR="00E37326">
              <w:rPr>
                <w:rFonts w:cs="Tahoma"/>
                <w:color w:val="000000"/>
                <w:lang w:eastAsia="en-GB"/>
              </w:rPr>
              <w:t xml:space="preserve">also </w:t>
            </w:r>
            <w:r w:rsidR="00442AC6" w:rsidRPr="00442AC6">
              <w:rPr>
                <w:rFonts w:cs="Tahoma"/>
                <w:color w:val="000000"/>
                <w:lang w:eastAsia="en-GB"/>
              </w:rPr>
              <w:t xml:space="preserve">do a duplicate check to </w:t>
            </w:r>
            <w:r w:rsidR="00442AC6" w:rsidRPr="00442AC6">
              <w:rPr>
                <w:rFonts w:cs="Tahoma"/>
                <w:color w:val="000000"/>
                <w:lang w:eastAsia="en-GB"/>
              </w:rPr>
              <w:lastRenderedPageBreak/>
              <w:t xml:space="preserve">ensure not a case previously submitted as a solicited report from the MAH at time event occurred during the program? </w:t>
            </w:r>
          </w:p>
          <w:p w14:paraId="2BF2DD19" w14:textId="77777777" w:rsidR="002D2305" w:rsidRPr="00E37326" w:rsidRDefault="002D2305" w:rsidP="004E738E">
            <w:pPr>
              <w:pStyle w:val="TabletextrowsAgency"/>
              <w:rPr>
                <w:b/>
              </w:rPr>
            </w:pPr>
            <w:r>
              <w:rPr>
                <w:b/>
                <w:u w:val="single"/>
              </w:rPr>
              <w:t>Proposed change</w:t>
            </w:r>
            <w:r w:rsidRPr="00DF21F5">
              <w:rPr>
                <w:b/>
                <w:u w:val="single"/>
              </w:rPr>
              <w:t xml:space="preserve">: </w:t>
            </w:r>
            <w:r w:rsidRPr="009A3301">
              <w:t xml:space="preserve">Perhaps </w:t>
            </w:r>
            <w:r>
              <w:t>the Agency could su</w:t>
            </w:r>
            <w:r w:rsidRPr="009A3301">
              <w:t>ggest a</w:t>
            </w:r>
            <w:r>
              <w:t xml:space="preserve"> mechanism or </w:t>
            </w:r>
            <w:r w:rsidRPr="009A3301">
              <w:t>process</w:t>
            </w:r>
            <w:r>
              <w:t>es</w:t>
            </w:r>
            <w:r w:rsidRPr="009A3301">
              <w:t xml:space="preserve"> to help MAHs with duplicate identification.</w:t>
            </w:r>
          </w:p>
        </w:tc>
        <w:tc>
          <w:tcPr>
            <w:tcW w:w="1519" w:type="pct"/>
            <w:shd w:val="clear" w:color="auto" w:fill="E1E3F2"/>
          </w:tcPr>
          <w:p w14:paraId="1F18C227" w14:textId="77777777" w:rsidR="00E92ACB" w:rsidRDefault="00E92ACB" w:rsidP="00892519">
            <w:pPr>
              <w:pStyle w:val="TabletextrowsAgency"/>
            </w:pPr>
            <w:r>
              <w:lastRenderedPageBreak/>
              <w:t>Duplicate Checks</w:t>
            </w:r>
            <w:r w:rsidR="004E08AB">
              <w:t>:</w:t>
            </w:r>
            <w:r>
              <w:t xml:space="preserve"> </w:t>
            </w:r>
          </w:p>
          <w:p w14:paraId="13DD233E" w14:textId="77777777" w:rsidR="00892519" w:rsidRDefault="00892519" w:rsidP="00892519">
            <w:pPr>
              <w:pStyle w:val="TabletextrowsAgency"/>
            </w:pPr>
            <w:r>
              <w:t xml:space="preserve">Ensure clarity, without which we perceive a risk of creating duplicate ICSRs with different </w:t>
            </w:r>
            <w:r>
              <w:lastRenderedPageBreak/>
              <w:t>WWCIDs.</w:t>
            </w:r>
          </w:p>
          <w:p w14:paraId="259DC988" w14:textId="77777777" w:rsidR="00442AC6" w:rsidRPr="00306B06" w:rsidRDefault="00442AC6" w:rsidP="00DF21F5">
            <w:pPr>
              <w:pStyle w:val="TabletextrowsAgency"/>
            </w:pPr>
          </w:p>
        </w:tc>
      </w:tr>
      <w:tr w:rsidR="0007759E" w14:paraId="5FC89C38" w14:textId="77777777" w:rsidTr="00D73F3F">
        <w:tc>
          <w:tcPr>
            <w:tcW w:w="649" w:type="pct"/>
            <w:shd w:val="clear" w:color="auto" w:fill="E1E3F2"/>
          </w:tcPr>
          <w:p w14:paraId="5FA5FFEA" w14:textId="77777777" w:rsidR="0007759E" w:rsidRDefault="0007759E" w:rsidP="00E67FDD">
            <w:pPr>
              <w:pStyle w:val="TabletextrowsAgency"/>
            </w:pPr>
            <w:r>
              <w:lastRenderedPageBreak/>
              <w:t>100-109</w:t>
            </w:r>
          </w:p>
        </w:tc>
        <w:tc>
          <w:tcPr>
            <w:tcW w:w="816" w:type="pct"/>
            <w:shd w:val="clear" w:color="auto" w:fill="E1E3F2"/>
          </w:tcPr>
          <w:p w14:paraId="7E579C28" w14:textId="77777777" w:rsidR="0007759E" w:rsidRDefault="001B41FF" w:rsidP="00DF21F5">
            <w:pPr>
              <w:pStyle w:val="TabletextrowsAgency"/>
            </w:pPr>
            <w:r>
              <w:t>EFPIA</w:t>
            </w:r>
          </w:p>
        </w:tc>
        <w:tc>
          <w:tcPr>
            <w:tcW w:w="2016" w:type="pct"/>
            <w:shd w:val="clear" w:color="auto" w:fill="E1E3F2"/>
          </w:tcPr>
          <w:p w14:paraId="020E96CF" w14:textId="77777777" w:rsidR="0007759E" w:rsidRPr="00442AC6" w:rsidRDefault="00AB66E4" w:rsidP="00E37326">
            <w:pPr>
              <w:pStyle w:val="TabletextrowsAgency"/>
              <w:rPr>
                <w:b/>
              </w:rPr>
            </w:pPr>
            <w:r w:rsidRPr="00DF21F5">
              <w:rPr>
                <w:b/>
              </w:rPr>
              <w:t>Comment:</w:t>
            </w:r>
            <w:r w:rsidRPr="00BD5AEE">
              <w:t xml:space="preserve"> </w:t>
            </w:r>
            <w:r w:rsidR="0007759E" w:rsidRPr="00442AC6">
              <w:rPr>
                <w:rFonts w:cs="Tahoma"/>
                <w:color w:val="000000"/>
                <w:lang w:eastAsia="en-GB"/>
              </w:rPr>
              <w:t xml:space="preserve">Will </w:t>
            </w:r>
            <w:r w:rsidR="00E37326">
              <w:rPr>
                <w:rFonts w:cs="Tahoma"/>
                <w:color w:val="000000"/>
                <w:lang w:eastAsia="en-GB"/>
              </w:rPr>
              <w:t xml:space="preserve">it be </w:t>
            </w:r>
            <w:r w:rsidR="0007759E" w:rsidRPr="00442AC6">
              <w:rPr>
                <w:rFonts w:cs="Tahoma"/>
                <w:color w:val="000000"/>
                <w:lang w:eastAsia="en-GB"/>
              </w:rPr>
              <w:t xml:space="preserve">the agency </w:t>
            </w:r>
            <w:r w:rsidR="00E37326">
              <w:rPr>
                <w:rFonts w:cs="Tahoma"/>
                <w:color w:val="000000"/>
                <w:lang w:eastAsia="en-GB"/>
              </w:rPr>
              <w:t xml:space="preserve">itself </w:t>
            </w:r>
            <w:r w:rsidR="0007759E" w:rsidRPr="00442AC6">
              <w:rPr>
                <w:rFonts w:cs="Tahoma"/>
                <w:color w:val="000000"/>
                <w:lang w:eastAsia="en-GB"/>
              </w:rPr>
              <w:t xml:space="preserve">or it's vendor </w:t>
            </w:r>
            <w:r w:rsidR="00E37326">
              <w:rPr>
                <w:rFonts w:cs="Tahoma"/>
                <w:color w:val="000000"/>
                <w:lang w:eastAsia="en-GB"/>
              </w:rPr>
              <w:t xml:space="preserve">who is </w:t>
            </w:r>
            <w:r w:rsidR="0007759E" w:rsidRPr="00442AC6">
              <w:rPr>
                <w:rFonts w:cs="Tahoma"/>
                <w:color w:val="000000"/>
                <w:lang w:eastAsia="en-GB"/>
              </w:rPr>
              <w:t>responsible for conducting follow up with the corresponding author for missing information as the MAH does now?</w:t>
            </w:r>
            <w:r w:rsidR="00892519">
              <w:rPr>
                <w:rFonts w:cs="Tahoma"/>
                <w:color w:val="000000"/>
                <w:lang w:eastAsia="en-GB"/>
              </w:rPr>
              <w:t xml:space="preserve"> If vendor, what degree of training will be required/provided?</w:t>
            </w:r>
          </w:p>
        </w:tc>
        <w:tc>
          <w:tcPr>
            <w:tcW w:w="1519" w:type="pct"/>
            <w:shd w:val="clear" w:color="auto" w:fill="E1E3F2"/>
          </w:tcPr>
          <w:p w14:paraId="04BC2273" w14:textId="77777777" w:rsidR="00E92ACB" w:rsidRDefault="00E92ACB" w:rsidP="00DF21F5">
            <w:pPr>
              <w:pStyle w:val="TabletextrowsAgency"/>
            </w:pPr>
            <w:r>
              <w:t>Follow-up</w:t>
            </w:r>
            <w:r w:rsidR="004E08AB">
              <w:t>:</w:t>
            </w:r>
            <w:r>
              <w:t xml:space="preserve"> </w:t>
            </w:r>
          </w:p>
          <w:p w14:paraId="40823F71" w14:textId="77777777" w:rsidR="0007759E" w:rsidRPr="00306B06" w:rsidRDefault="00892519" w:rsidP="00DF21F5">
            <w:pPr>
              <w:pStyle w:val="TabletextrowsAgency"/>
            </w:pPr>
            <w:r>
              <w:t>Process clarity</w:t>
            </w:r>
          </w:p>
        </w:tc>
      </w:tr>
      <w:tr w:rsidR="00DF21F5" w14:paraId="06E563EA" w14:textId="77777777" w:rsidTr="00D73F3F">
        <w:tc>
          <w:tcPr>
            <w:tcW w:w="649" w:type="pct"/>
            <w:shd w:val="clear" w:color="auto" w:fill="E1E3F2"/>
          </w:tcPr>
          <w:p w14:paraId="2E1DFA85" w14:textId="77777777" w:rsidR="00DF21F5" w:rsidRPr="00306B06" w:rsidRDefault="00442AC6" w:rsidP="00E67FDD">
            <w:pPr>
              <w:pStyle w:val="TabletextrowsAgency"/>
            </w:pPr>
            <w:r>
              <w:t>1</w:t>
            </w:r>
            <w:r w:rsidR="00DF21F5">
              <w:t>00-109</w:t>
            </w:r>
          </w:p>
        </w:tc>
        <w:tc>
          <w:tcPr>
            <w:tcW w:w="816" w:type="pct"/>
            <w:shd w:val="clear" w:color="auto" w:fill="E1E3F2"/>
          </w:tcPr>
          <w:p w14:paraId="4F20828D" w14:textId="77777777" w:rsidR="00DF21F5" w:rsidRDefault="001B41FF" w:rsidP="00DF21F5">
            <w:pPr>
              <w:pStyle w:val="TabletextrowsAgency"/>
            </w:pPr>
            <w:r>
              <w:t>EFPIA</w:t>
            </w:r>
          </w:p>
        </w:tc>
        <w:tc>
          <w:tcPr>
            <w:tcW w:w="2016" w:type="pct"/>
            <w:shd w:val="clear" w:color="auto" w:fill="E1E3F2"/>
          </w:tcPr>
          <w:p w14:paraId="2D3D4AF1" w14:textId="77777777" w:rsidR="00DF21F5" w:rsidRPr="00BD5AEE" w:rsidRDefault="00DF21F5" w:rsidP="00DF21F5">
            <w:pPr>
              <w:pStyle w:val="TabletextrowsAgency"/>
            </w:pPr>
            <w:r w:rsidRPr="00DF21F5">
              <w:rPr>
                <w:b/>
              </w:rPr>
              <w:t>Comment:</w:t>
            </w:r>
            <w:r w:rsidR="00E92ACB">
              <w:t xml:space="preserve"> We recommend </w:t>
            </w:r>
            <w:r w:rsidRPr="00BD5AEE">
              <w:t>specify</w:t>
            </w:r>
            <w:r w:rsidR="00E92ACB">
              <w:t>ing</w:t>
            </w:r>
            <w:r w:rsidRPr="00BD5AEE">
              <w:t xml:space="preserve"> that suspected adverse reactions</w:t>
            </w:r>
            <w:r>
              <w:t xml:space="preserve"> </w:t>
            </w:r>
            <w:r w:rsidRPr="00522E49">
              <w:t xml:space="preserve">related to investigational or auxiliary medicinal product, or concomitant medications </w:t>
            </w:r>
            <w:r w:rsidRPr="00BD5AEE">
              <w:t xml:space="preserve">will be excluded. </w:t>
            </w:r>
          </w:p>
          <w:p w14:paraId="2370D2B9" w14:textId="77777777" w:rsidR="00DF21F5" w:rsidRPr="00BD5AEE" w:rsidRDefault="0007759E" w:rsidP="00DF21F5">
            <w:pPr>
              <w:pStyle w:val="TabletextrowsAgency"/>
            </w:pPr>
            <w:r>
              <w:t>The</w:t>
            </w:r>
            <w:r w:rsidR="00DF21F5" w:rsidRPr="00BD5AEE">
              <w:t xml:space="preserve"> guidance provides no recommendation regarding the ICSRs identified in publications with aggregated review of several publication or metadata analysis. We recommend they should be excluded as “republished data”. </w:t>
            </w:r>
          </w:p>
          <w:p w14:paraId="3A50CE83" w14:textId="77777777" w:rsidR="00E37326" w:rsidRDefault="00DF21F5" w:rsidP="00E67FDD">
            <w:pPr>
              <w:pStyle w:val="TabletextrowsAgency"/>
            </w:pPr>
            <w:r w:rsidRPr="0007759E">
              <w:rPr>
                <w:b/>
                <w:u w:val="single"/>
              </w:rPr>
              <w:t>Proposed changes</w:t>
            </w:r>
            <w:r w:rsidRPr="0007759E">
              <w:rPr>
                <w:b/>
              </w:rPr>
              <w:t>:</w:t>
            </w:r>
            <w:r w:rsidRPr="00BD5AEE">
              <w:t xml:space="preserve"> reports of single or multiple cases of suspected adverse reactions from studies including post-authorisation study results (with the exclusion of suspected adverse reactions from interventional clinical trials </w:t>
            </w:r>
            <w:r>
              <w:t xml:space="preserve">related to </w:t>
            </w:r>
            <w:r>
              <w:rPr>
                <w:sz w:val="19"/>
                <w:szCs w:val="19"/>
              </w:rPr>
              <w:t>investigational or auxiliary medicinal product, or concomitant medications,</w:t>
            </w:r>
            <w:r w:rsidRPr="00BD5AEE">
              <w:t xml:space="preserve">); </w:t>
            </w:r>
            <w:r w:rsidR="00E37326">
              <w:t xml:space="preserve"> </w:t>
            </w:r>
          </w:p>
          <w:p w14:paraId="490F401F" w14:textId="77777777" w:rsidR="004E08AB" w:rsidRPr="004E1373" w:rsidRDefault="00DF21F5" w:rsidP="00E67FDD">
            <w:pPr>
              <w:pStyle w:val="TabletextrowsAgency"/>
            </w:pPr>
            <w:r>
              <w:t xml:space="preserve">Add after line 109: </w:t>
            </w:r>
            <w:r w:rsidR="009C15DB">
              <w:t xml:space="preserve"> </w:t>
            </w:r>
            <w:r>
              <w:t>Report of s</w:t>
            </w:r>
            <w:r w:rsidRPr="00BD5AEE">
              <w:t xml:space="preserve">ingle or multiple cases of suspected adverse reactions published in review articles and </w:t>
            </w:r>
            <w:proofErr w:type="spellStart"/>
            <w:r w:rsidRPr="00BD5AEE">
              <w:t>metanalysis</w:t>
            </w:r>
            <w:proofErr w:type="spellEnd"/>
            <w:r w:rsidRPr="00BD5AEE">
              <w:t xml:space="preserve"> will be excluded.</w:t>
            </w:r>
          </w:p>
        </w:tc>
        <w:tc>
          <w:tcPr>
            <w:tcW w:w="1519" w:type="pct"/>
            <w:shd w:val="clear" w:color="auto" w:fill="E1E3F2"/>
          </w:tcPr>
          <w:p w14:paraId="691BB881" w14:textId="77777777" w:rsidR="00E92ACB" w:rsidRDefault="00E92ACB" w:rsidP="00DF21F5">
            <w:pPr>
              <w:pStyle w:val="TabletextrowsAgency"/>
            </w:pPr>
            <w:r>
              <w:t>Exclusions</w:t>
            </w:r>
            <w:r w:rsidR="004E08AB">
              <w:t>:</w:t>
            </w:r>
          </w:p>
          <w:p w14:paraId="6782257F" w14:textId="77777777" w:rsidR="00DF21F5" w:rsidRPr="00306B06" w:rsidRDefault="00E92ACB" w:rsidP="00DF21F5">
            <w:pPr>
              <w:pStyle w:val="TabletextrowsAgency"/>
            </w:pPr>
            <w:r>
              <w:t>Process clarity</w:t>
            </w:r>
          </w:p>
        </w:tc>
      </w:tr>
      <w:tr w:rsidR="00E67FDD" w14:paraId="6336A1D4" w14:textId="77777777" w:rsidTr="00D73F3F">
        <w:tc>
          <w:tcPr>
            <w:tcW w:w="649" w:type="pct"/>
            <w:shd w:val="clear" w:color="auto" w:fill="E1E3F2"/>
          </w:tcPr>
          <w:p w14:paraId="2936B544" w14:textId="77777777" w:rsidR="00E67FDD" w:rsidRPr="00306B06" w:rsidRDefault="00E67FDD" w:rsidP="00E67FDD">
            <w:pPr>
              <w:pStyle w:val="TabletextrowsAgency"/>
            </w:pPr>
            <w:r w:rsidRPr="00306B06">
              <w:t xml:space="preserve">Line </w:t>
            </w:r>
            <w:r>
              <w:t>101</w:t>
            </w:r>
          </w:p>
        </w:tc>
        <w:tc>
          <w:tcPr>
            <w:tcW w:w="816" w:type="pct"/>
            <w:shd w:val="clear" w:color="auto" w:fill="E1E3F2"/>
          </w:tcPr>
          <w:p w14:paraId="32D4C074" w14:textId="77777777" w:rsidR="00E67FDD" w:rsidRPr="00306B06" w:rsidRDefault="001B41FF" w:rsidP="00DF21F5">
            <w:pPr>
              <w:pStyle w:val="TabletextrowsAgency"/>
            </w:pPr>
            <w:r>
              <w:t>EFPIA</w:t>
            </w:r>
          </w:p>
        </w:tc>
        <w:tc>
          <w:tcPr>
            <w:tcW w:w="2016" w:type="pct"/>
            <w:shd w:val="clear" w:color="auto" w:fill="E1E3F2"/>
          </w:tcPr>
          <w:p w14:paraId="26E7F84F" w14:textId="77777777" w:rsidR="00E67FDD" w:rsidRDefault="00E67FDD" w:rsidP="00E67FDD">
            <w:pPr>
              <w:pStyle w:val="TabletextrowsAgency"/>
            </w:pPr>
            <w:r w:rsidRPr="00E67FDD">
              <w:rPr>
                <w:b/>
              </w:rPr>
              <w:t>Comment:</w:t>
            </w:r>
            <w:r>
              <w:t xml:space="preserve"> By excluding suspected adverse reaction from interventional clinical trials from this literature monitoring service is adding MAH burden.</w:t>
            </w:r>
          </w:p>
          <w:p w14:paraId="2C2DC432" w14:textId="77777777" w:rsidR="00E37326" w:rsidRDefault="009C15DB" w:rsidP="009C15DB">
            <w:pPr>
              <w:pStyle w:val="TabletextrowsAgency"/>
            </w:pPr>
            <w:r>
              <w:rPr>
                <w:b/>
              </w:rPr>
              <w:t>Proposed change:</w:t>
            </w:r>
            <w:r w:rsidR="00E67FDD">
              <w:t xml:space="preserve"> As this exclusion leads to re-review by MAHs, we propose this exclusion to be removed</w:t>
            </w:r>
          </w:p>
          <w:p w14:paraId="72CC6F4E" w14:textId="77777777" w:rsidR="00654642" w:rsidRPr="004E1373" w:rsidRDefault="00654642" w:rsidP="009C15DB">
            <w:pPr>
              <w:pStyle w:val="TabletextrowsAgency"/>
            </w:pPr>
          </w:p>
        </w:tc>
        <w:tc>
          <w:tcPr>
            <w:tcW w:w="1519" w:type="pct"/>
            <w:shd w:val="clear" w:color="auto" w:fill="E1E3F2"/>
          </w:tcPr>
          <w:p w14:paraId="27D6E592" w14:textId="77777777" w:rsidR="004E08AB" w:rsidRDefault="004E08AB" w:rsidP="00E92ACB">
            <w:pPr>
              <w:pStyle w:val="TabletextrowsAgency"/>
            </w:pPr>
            <w:r>
              <w:t xml:space="preserve">Exclusions: </w:t>
            </w:r>
          </w:p>
          <w:p w14:paraId="7A31CA9B" w14:textId="77777777" w:rsidR="00E67FDD" w:rsidRPr="00306B06" w:rsidRDefault="00E92ACB" w:rsidP="00E92ACB">
            <w:pPr>
              <w:pStyle w:val="TabletextrowsAgency"/>
            </w:pPr>
            <w:r>
              <w:t>Avoid duplication of effort</w:t>
            </w:r>
          </w:p>
        </w:tc>
      </w:tr>
      <w:tr w:rsidR="00E67FDD" w14:paraId="1135FBB6" w14:textId="77777777" w:rsidTr="00D73F3F">
        <w:tc>
          <w:tcPr>
            <w:tcW w:w="649" w:type="pct"/>
            <w:shd w:val="clear" w:color="auto" w:fill="E1E3F2"/>
          </w:tcPr>
          <w:p w14:paraId="41EB363B" w14:textId="77777777" w:rsidR="00E67FDD" w:rsidRPr="00306B06" w:rsidRDefault="00E67FDD" w:rsidP="00DF21F5">
            <w:pPr>
              <w:pStyle w:val="TabletextrowsAgency"/>
            </w:pPr>
            <w:r w:rsidRPr="00306B06">
              <w:lastRenderedPageBreak/>
              <w:t>Line 103-106</w:t>
            </w:r>
          </w:p>
        </w:tc>
        <w:tc>
          <w:tcPr>
            <w:tcW w:w="816" w:type="pct"/>
            <w:shd w:val="clear" w:color="auto" w:fill="E1E3F2"/>
          </w:tcPr>
          <w:p w14:paraId="778C44B4" w14:textId="77777777" w:rsidR="00E67FDD" w:rsidRPr="00306B06" w:rsidRDefault="001B41FF" w:rsidP="00DF21F5">
            <w:pPr>
              <w:pStyle w:val="TabletextrowsAgency"/>
            </w:pPr>
            <w:r>
              <w:t>EFPIA</w:t>
            </w:r>
          </w:p>
        </w:tc>
        <w:tc>
          <w:tcPr>
            <w:tcW w:w="2016" w:type="pct"/>
            <w:shd w:val="clear" w:color="auto" w:fill="E1E3F2"/>
          </w:tcPr>
          <w:p w14:paraId="5B34B456" w14:textId="77777777" w:rsidR="00E67FDD" w:rsidRDefault="00E67FDD" w:rsidP="00E37326">
            <w:pPr>
              <w:spacing w:line="280" w:lineRule="exact"/>
              <w:rPr>
                <w:rFonts w:eastAsia="Times New Roman"/>
                <w:b/>
              </w:rPr>
            </w:pPr>
            <w:r w:rsidRPr="00F24BDF">
              <w:rPr>
                <w:b/>
              </w:rPr>
              <w:t>Comment:</w:t>
            </w:r>
            <w:r>
              <w:rPr>
                <w:b/>
              </w:rPr>
              <w:t xml:space="preserve"> </w:t>
            </w:r>
            <w:r w:rsidR="001F4D3D">
              <w:t>W</w:t>
            </w:r>
            <w:r w:rsidRPr="004E1373">
              <w:t>ording in section 2.2  is not repeated in section 3.1 (i.e. there are 4 bullets in section 2.2, should these all be repeated in section 3.1 where only 3 bullets appear</w:t>
            </w:r>
            <w:r w:rsidR="00E37326">
              <w:t>)</w:t>
            </w:r>
          </w:p>
        </w:tc>
        <w:tc>
          <w:tcPr>
            <w:tcW w:w="1519" w:type="pct"/>
            <w:shd w:val="clear" w:color="auto" w:fill="E1E3F2"/>
          </w:tcPr>
          <w:p w14:paraId="0FF72654" w14:textId="77777777" w:rsidR="004E08AB" w:rsidRDefault="00E67FDD" w:rsidP="00DF21F5">
            <w:pPr>
              <w:pStyle w:val="TabletextrowsAgency"/>
            </w:pPr>
            <w:r w:rsidRPr="00306B06">
              <w:t>Alignment</w:t>
            </w:r>
            <w:r w:rsidR="004E08AB">
              <w:t>:</w:t>
            </w:r>
          </w:p>
          <w:p w14:paraId="17862B40" w14:textId="77777777" w:rsidR="00E67FDD" w:rsidRPr="00306B06" w:rsidRDefault="004E08AB" w:rsidP="00DF21F5">
            <w:pPr>
              <w:pStyle w:val="TabletextrowsAgency"/>
            </w:pPr>
            <w:r>
              <w:t>Harmonisation</w:t>
            </w:r>
            <w:r w:rsidR="00E67FDD" w:rsidRPr="00306B06">
              <w:t xml:space="preserve"> between sections 2.2. and 3.1</w:t>
            </w:r>
          </w:p>
        </w:tc>
      </w:tr>
      <w:tr w:rsidR="00DF21F5" w14:paraId="6C2EDD35" w14:textId="77777777" w:rsidTr="00D73F3F">
        <w:tc>
          <w:tcPr>
            <w:tcW w:w="649" w:type="pct"/>
            <w:shd w:val="clear" w:color="auto" w:fill="E1E3F2"/>
          </w:tcPr>
          <w:p w14:paraId="5F063734" w14:textId="77777777" w:rsidR="00DF21F5" w:rsidRDefault="00DF21F5" w:rsidP="003D1E4E">
            <w:pPr>
              <w:pStyle w:val="TabletextrowsAgency"/>
            </w:pPr>
            <w:r>
              <w:t>Line 103</w:t>
            </w:r>
          </w:p>
        </w:tc>
        <w:tc>
          <w:tcPr>
            <w:tcW w:w="816" w:type="pct"/>
            <w:shd w:val="clear" w:color="auto" w:fill="E1E3F2"/>
          </w:tcPr>
          <w:p w14:paraId="0C80A7AD" w14:textId="77777777" w:rsidR="00DF21F5" w:rsidRDefault="001B41FF" w:rsidP="003D1E4E">
            <w:pPr>
              <w:pStyle w:val="TabletextrowsAgency"/>
            </w:pPr>
            <w:r>
              <w:t>EFPIA</w:t>
            </w:r>
          </w:p>
        </w:tc>
        <w:tc>
          <w:tcPr>
            <w:tcW w:w="2016" w:type="pct"/>
            <w:shd w:val="clear" w:color="auto" w:fill="E1E3F2"/>
          </w:tcPr>
          <w:p w14:paraId="3EAD4CE6" w14:textId="77777777" w:rsidR="008225A8" w:rsidRDefault="00DF21F5" w:rsidP="008225A8">
            <w:pPr>
              <w:pStyle w:val="TabletextrowsAgency"/>
            </w:pPr>
            <w:r w:rsidRPr="00DF21F5">
              <w:rPr>
                <w:b/>
              </w:rPr>
              <w:t>Comment:</w:t>
            </w:r>
            <w:r w:rsidRPr="00BD5AEE">
              <w:t xml:space="preserve"> According to GVP module </w:t>
            </w:r>
            <w:r>
              <w:t>VI</w:t>
            </w:r>
            <w:r w:rsidRPr="00BD5AEE">
              <w:t xml:space="preserve">, literature ICSRs which are based on an analysis from a competent authority database within the EU should be excluded. </w:t>
            </w:r>
          </w:p>
          <w:p w14:paraId="196BDE1C" w14:textId="77777777" w:rsidR="00DF21F5" w:rsidRPr="0084755C" w:rsidRDefault="00DF21F5" w:rsidP="008225A8">
            <w:pPr>
              <w:pStyle w:val="TabletextrowsAgency"/>
              <w:rPr>
                <w:b/>
              </w:rPr>
            </w:pPr>
            <w:r w:rsidRPr="00DF21F5">
              <w:rPr>
                <w:b/>
                <w:u w:val="single"/>
              </w:rPr>
              <w:t>Proposed changes:</w:t>
            </w:r>
            <w:r w:rsidRPr="00BD5AEE">
              <w:t xml:space="preserve">  reports of single or multiple cases of suspected adverse reactions from organised data collection systems referring to registries, post-approval named patient or compassionate use programmes, other patient support and disease management programmes, surveys of patients or healthcare providers and information gathering on efficacy or patients' compliance, excluding literature ICSRs which are based on an analysis from a competent authority database within the EU.</w:t>
            </w:r>
          </w:p>
        </w:tc>
        <w:tc>
          <w:tcPr>
            <w:tcW w:w="1519" w:type="pct"/>
            <w:shd w:val="clear" w:color="auto" w:fill="E1E3F2"/>
          </w:tcPr>
          <w:p w14:paraId="5A34A7BF" w14:textId="77777777" w:rsidR="00DF21F5" w:rsidRDefault="004E08AB" w:rsidP="003D1E4E">
            <w:pPr>
              <w:pStyle w:val="TabletextrowsAgency"/>
            </w:pPr>
            <w:r>
              <w:t>Exclusions:</w:t>
            </w:r>
          </w:p>
          <w:p w14:paraId="3114207B" w14:textId="77777777" w:rsidR="004E08AB" w:rsidRPr="00306B06" w:rsidRDefault="004E08AB" w:rsidP="003D1E4E">
            <w:pPr>
              <w:pStyle w:val="TabletextrowsAgency"/>
            </w:pPr>
            <w:r>
              <w:t>Process clarity</w:t>
            </w:r>
          </w:p>
        </w:tc>
      </w:tr>
      <w:tr w:rsidR="00F14125" w14:paraId="754A7E52" w14:textId="77777777" w:rsidTr="00D73F3F">
        <w:tc>
          <w:tcPr>
            <w:tcW w:w="649" w:type="pct"/>
            <w:shd w:val="clear" w:color="auto" w:fill="E1E3F2"/>
          </w:tcPr>
          <w:p w14:paraId="5CE921E1" w14:textId="77777777" w:rsidR="00F14125" w:rsidRPr="00306B06" w:rsidRDefault="00E67FDD" w:rsidP="003D1E4E">
            <w:pPr>
              <w:pStyle w:val="TabletextrowsAgency"/>
            </w:pPr>
            <w:r>
              <w:t>107-109 (and 129-131)</w:t>
            </w:r>
          </w:p>
        </w:tc>
        <w:tc>
          <w:tcPr>
            <w:tcW w:w="816" w:type="pct"/>
            <w:shd w:val="clear" w:color="auto" w:fill="E1E3F2"/>
          </w:tcPr>
          <w:p w14:paraId="76C596AB" w14:textId="77777777" w:rsidR="00F14125" w:rsidRPr="00306B06" w:rsidRDefault="001B41FF" w:rsidP="003D1E4E">
            <w:pPr>
              <w:pStyle w:val="TabletextrowsAgency"/>
            </w:pPr>
            <w:r>
              <w:t>EFPIA</w:t>
            </w:r>
          </w:p>
        </w:tc>
        <w:tc>
          <w:tcPr>
            <w:tcW w:w="2016" w:type="pct"/>
            <w:shd w:val="clear" w:color="auto" w:fill="E1E3F2"/>
          </w:tcPr>
          <w:p w14:paraId="15320779" w14:textId="77777777" w:rsidR="00E67FDD" w:rsidRDefault="00E67FDD" w:rsidP="00E67FDD">
            <w:pPr>
              <w:pStyle w:val="TabletextrowsAgency"/>
            </w:pPr>
            <w:r w:rsidRPr="0084755C">
              <w:rPr>
                <w:b/>
              </w:rPr>
              <w:t xml:space="preserve">Comment: </w:t>
            </w:r>
            <w:r>
              <w:t xml:space="preserve">Suspected transmission of an infectious agent via a medicinal product is omitted. Per GVP module VI these are reportable </w:t>
            </w:r>
            <w:r w:rsidR="009C15DB">
              <w:t xml:space="preserve">in </w:t>
            </w:r>
            <w:r>
              <w:t xml:space="preserve">15 days and </w:t>
            </w:r>
            <w:r w:rsidR="009C15DB">
              <w:t>are</w:t>
            </w:r>
            <w:r>
              <w:t xml:space="preserve"> important medical event</w:t>
            </w:r>
            <w:r w:rsidR="009C15DB">
              <w:t>s</w:t>
            </w:r>
            <w:r>
              <w:t>.</w:t>
            </w:r>
          </w:p>
          <w:p w14:paraId="3B556F6B" w14:textId="77777777" w:rsidR="00F14125" w:rsidRPr="00D220DF" w:rsidRDefault="009C15DB" w:rsidP="009C15DB">
            <w:pPr>
              <w:pStyle w:val="TabletextrowsAgency"/>
            </w:pPr>
            <w:r>
              <w:rPr>
                <w:b/>
              </w:rPr>
              <w:t>Proposed change</w:t>
            </w:r>
            <w:r w:rsidR="00E67FDD" w:rsidRPr="0084755C">
              <w:rPr>
                <w:b/>
              </w:rPr>
              <w:t>:</w:t>
            </w:r>
            <w:r w:rsidR="00E67FDD">
              <w:t xml:space="preserve"> Add </w:t>
            </w:r>
            <w:r>
              <w:t>to</w:t>
            </w:r>
            <w:r w:rsidR="00E67FDD">
              <w:t xml:space="preserve"> sections starting line 107 and 129.</w:t>
            </w:r>
          </w:p>
        </w:tc>
        <w:tc>
          <w:tcPr>
            <w:tcW w:w="1519" w:type="pct"/>
            <w:shd w:val="clear" w:color="auto" w:fill="E1E3F2"/>
          </w:tcPr>
          <w:p w14:paraId="57A03A21" w14:textId="77777777" w:rsidR="00F14125" w:rsidRDefault="004E08AB" w:rsidP="003D1E4E">
            <w:pPr>
              <w:pStyle w:val="TabletextrowsAgency"/>
            </w:pPr>
            <w:r>
              <w:t>Suspected Transmission:</w:t>
            </w:r>
          </w:p>
          <w:p w14:paraId="38E2F129" w14:textId="77777777" w:rsidR="004E08AB" w:rsidRPr="00306B06" w:rsidRDefault="004E08AB" w:rsidP="003D1E4E">
            <w:pPr>
              <w:pStyle w:val="TabletextrowsAgency"/>
            </w:pPr>
            <w:r>
              <w:t>Avoid duplication of effort</w:t>
            </w:r>
          </w:p>
        </w:tc>
      </w:tr>
      <w:tr w:rsidR="00DF21F5" w14:paraId="409D0180" w14:textId="77777777" w:rsidTr="00D73F3F">
        <w:tc>
          <w:tcPr>
            <w:tcW w:w="649" w:type="pct"/>
            <w:shd w:val="clear" w:color="auto" w:fill="E1E3F2"/>
          </w:tcPr>
          <w:p w14:paraId="45DCF41E" w14:textId="77777777" w:rsidR="00DF21F5" w:rsidRDefault="00DF21F5" w:rsidP="00DF21F5">
            <w:pPr>
              <w:pStyle w:val="TabletextrowsAgency"/>
            </w:pPr>
            <w:r>
              <w:t>111</w:t>
            </w:r>
          </w:p>
        </w:tc>
        <w:tc>
          <w:tcPr>
            <w:tcW w:w="816" w:type="pct"/>
            <w:shd w:val="clear" w:color="auto" w:fill="E1E3F2"/>
          </w:tcPr>
          <w:p w14:paraId="488E0521" w14:textId="77777777" w:rsidR="00DF21F5" w:rsidRDefault="001B41FF" w:rsidP="00DF21F5">
            <w:pPr>
              <w:pStyle w:val="TabletextrowsAgency"/>
            </w:pPr>
            <w:r>
              <w:t>EFPIA</w:t>
            </w:r>
          </w:p>
        </w:tc>
        <w:tc>
          <w:tcPr>
            <w:tcW w:w="2016" w:type="pct"/>
            <w:shd w:val="clear" w:color="auto" w:fill="E1E3F2"/>
          </w:tcPr>
          <w:p w14:paraId="0B67A1DA" w14:textId="77777777" w:rsidR="00325298" w:rsidRDefault="00DF21F5" w:rsidP="00DF21F5">
            <w:pPr>
              <w:pStyle w:val="ListParagraph"/>
              <w:spacing w:line="280" w:lineRule="exact"/>
              <w:ind w:left="0"/>
              <w:rPr>
                <w:lang w:val="en-US"/>
              </w:rPr>
            </w:pPr>
            <w:r w:rsidRPr="0049019A">
              <w:rPr>
                <w:b/>
              </w:rPr>
              <w:t>Comment</w:t>
            </w:r>
            <w:r w:rsidRPr="0049019A">
              <w:rPr>
                <w:b/>
                <w:lang w:val="en-US"/>
              </w:rPr>
              <w:t>:</w:t>
            </w:r>
            <w:r>
              <w:rPr>
                <w:lang w:val="en-US"/>
              </w:rPr>
              <w:t xml:space="preserve"> </w:t>
            </w:r>
            <w:r w:rsidR="00D220DF">
              <w:rPr>
                <w:lang w:val="en-US"/>
              </w:rPr>
              <w:t>Please confirm</w:t>
            </w:r>
            <w:r>
              <w:rPr>
                <w:lang w:val="en-US"/>
              </w:rPr>
              <w:t xml:space="preserve"> that the scope of the medical literature is not restricted to the publications from the EU/EEA. </w:t>
            </w:r>
          </w:p>
          <w:p w14:paraId="21B8DA06" w14:textId="77777777" w:rsidR="009C15DB" w:rsidRPr="00553FF1" w:rsidRDefault="009C15DB" w:rsidP="00D220DF">
            <w:pPr>
              <w:pStyle w:val="ListParagraph"/>
              <w:spacing w:line="280" w:lineRule="exact"/>
              <w:ind w:left="0"/>
              <w:rPr>
                <w:lang w:val="en-US"/>
              </w:rPr>
            </w:pPr>
            <w:r>
              <w:rPr>
                <w:b/>
                <w:lang w:val="en-US"/>
              </w:rPr>
              <w:t>Proposed change</w:t>
            </w:r>
            <w:r w:rsidR="00DF21F5" w:rsidRPr="00325298">
              <w:rPr>
                <w:b/>
                <w:lang w:val="en-US"/>
              </w:rPr>
              <w:t>:</w:t>
            </w:r>
            <w:r w:rsidR="00DF21F5">
              <w:rPr>
                <w:lang w:val="en-US"/>
              </w:rPr>
              <w:t xml:space="preserve"> </w:t>
            </w:r>
            <w:r w:rsidR="00553FF1">
              <w:rPr>
                <w:lang w:val="en-US"/>
              </w:rPr>
              <w:t xml:space="preserve"> </w:t>
            </w:r>
            <w:r w:rsidR="00325298">
              <w:rPr>
                <w:lang w:val="en-US"/>
              </w:rPr>
              <w:t>“The scope refers to widely used and daily updated scientific and medical literature reference databases</w:t>
            </w:r>
            <w:r w:rsidR="00325298" w:rsidRPr="008D32EF">
              <w:rPr>
                <w:b/>
                <w:lang w:val="en-US"/>
              </w:rPr>
              <w:t xml:space="preserve"> including literature from EU and non-EU countries</w:t>
            </w:r>
            <w:r w:rsidR="00325298">
              <w:rPr>
                <w:lang w:val="en-US"/>
              </w:rPr>
              <w:t xml:space="preserve"> in line with those referred to in GPV module VI</w:t>
            </w:r>
            <w:r w:rsidR="00D220DF">
              <w:rPr>
                <w:lang w:val="en-US"/>
              </w:rPr>
              <w:t>”</w:t>
            </w:r>
          </w:p>
        </w:tc>
        <w:tc>
          <w:tcPr>
            <w:tcW w:w="1519" w:type="pct"/>
            <w:shd w:val="clear" w:color="auto" w:fill="E1E3F2"/>
          </w:tcPr>
          <w:p w14:paraId="4B90EA00" w14:textId="77777777" w:rsidR="00DF21F5" w:rsidRDefault="004E08AB" w:rsidP="00DF21F5">
            <w:pPr>
              <w:pStyle w:val="TabletextrowsAgency"/>
            </w:pPr>
            <w:r>
              <w:t>Literature Scope:</w:t>
            </w:r>
          </w:p>
          <w:p w14:paraId="116DE954" w14:textId="77777777" w:rsidR="004E08AB" w:rsidRPr="004E5142" w:rsidRDefault="004E08AB" w:rsidP="00DF21F5">
            <w:pPr>
              <w:pStyle w:val="TabletextrowsAgency"/>
            </w:pPr>
            <w:r>
              <w:t>Process clarity</w:t>
            </w:r>
          </w:p>
        </w:tc>
      </w:tr>
      <w:tr w:rsidR="00DF21F5" w14:paraId="2DB00240" w14:textId="77777777" w:rsidTr="00D73F3F">
        <w:tc>
          <w:tcPr>
            <w:tcW w:w="649" w:type="pct"/>
            <w:shd w:val="clear" w:color="auto" w:fill="E1E3F2"/>
          </w:tcPr>
          <w:p w14:paraId="624F5800" w14:textId="77777777" w:rsidR="00DF21F5" w:rsidRDefault="00325298" w:rsidP="003D1E4E">
            <w:pPr>
              <w:pStyle w:val="TabletextrowsAgency"/>
            </w:pPr>
            <w:r>
              <w:t>1</w:t>
            </w:r>
            <w:r w:rsidR="00DF21F5">
              <w:t>15</w:t>
            </w:r>
          </w:p>
        </w:tc>
        <w:tc>
          <w:tcPr>
            <w:tcW w:w="816" w:type="pct"/>
            <w:shd w:val="clear" w:color="auto" w:fill="E1E3F2"/>
          </w:tcPr>
          <w:p w14:paraId="18EFE34D" w14:textId="77777777" w:rsidR="00DF21F5" w:rsidRDefault="001B41FF" w:rsidP="003D1E4E">
            <w:pPr>
              <w:pStyle w:val="TabletextrowsAgency"/>
            </w:pPr>
            <w:r>
              <w:t>EFPIA</w:t>
            </w:r>
          </w:p>
        </w:tc>
        <w:tc>
          <w:tcPr>
            <w:tcW w:w="2016" w:type="pct"/>
            <w:shd w:val="clear" w:color="auto" w:fill="E1E3F2"/>
          </w:tcPr>
          <w:p w14:paraId="45EFB8A5" w14:textId="77777777" w:rsidR="00DF21F5" w:rsidRPr="00BD5AEE" w:rsidRDefault="00DF21F5" w:rsidP="00DF21F5">
            <w:pPr>
              <w:pStyle w:val="TabletextrowsAgency"/>
            </w:pPr>
            <w:r w:rsidRPr="00BD5AEE">
              <w:t xml:space="preserve">Local journals may be indexed </w:t>
            </w:r>
            <w:r w:rsidR="001F4D3D">
              <w:t xml:space="preserve">in non-international </w:t>
            </w:r>
            <w:proofErr w:type="gramStart"/>
            <w:r w:rsidR="001F4D3D">
              <w:t>databases,</w:t>
            </w:r>
            <w:proofErr w:type="gramEnd"/>
            <w:r w:rsidR="001F4D3D">
              <w:t xml:space="preserve"> this </w:t>
            </w:r>
            <w:r w:rsidRPr="00BD5AEE">
              <w:t xml:space="preserve">should be </w:t>
            </w:r>
            <w:r w:rsidR="001F4D3D">
              <w:t xml:space="preserve">more </w:t>
            </w:r>
            <w:r>
              <w:t xml:space="preserve">clearly </w:t>
            </w:r>
            <w:r w:rsidRPr="00BD5AEE">
              <w:t>specified.</w:t>
            </w:r>
          </w:p>
          <w:p w14:paraId="188B6A36" w14:textId="77777777" w:rsidR="00DF21F5" w:rsidRPr="00553FF1" w:rsidRDefault="009C15DB" w:rsidP="001F4D3D">
            <w:pPr>
              <w:pStyle w:val="TabletextrowsAgency"/>
              <w:rPr>
                <w:b/>
                <w:u w:val="single"/>
              </w:rPr>
            </w:pPr>
            <w:r>
              <w:rPr>
                <w:b/>
                <w:u w:val="single"/>
              </w:rPr>
              <w:t>Proposed change</w:t>
            </w:r>
            <w:r w:rsidR="00DF21F5" w:rsidRPr="00DF21F5">
              <w:rPr>
                <w:b/>
                <w:u w:val="single"/>
              </w:rPr>
              <w:t xml:space="preserve">: </w:t>
            </w:r>
            <w:r w:rsidR="00553FF1">
              <w:rPr>
                <w:b/>
                <w:u w:val="single"/>
              </w:rPr>
              <w:t xml:space="preserve"> </w:t>
            </w:r>
            <w:r w:rsidR="001F4D3D">
              <w:t>L</w:t>
            </w:r>
            <w:r w:rsidR="00DF21F5" w:rsidRPr="00BD5AEE">
              <w:t xml:space="preserve">ocal journals </w:t>
            </w:r>
            <w:proofErr w:type="gramStart"/>
            <w:r w:rsidR="00DF21F5" w:rsidRPr="00BD5AEE">
              <w:t>non indexed</w:t>
            </w:r>
            <w:proofErr w:type="gramEnd"/>
            <w:r w:rsidR="00DF21F5" w:rsidRPr="00BD5AEE">
              <w:t xml:space="preserve"> in international databases are excluded from the Agency’s monitoring activities and remain under the responsibilities</w:t>
            </w:r>
            <w:r w:rsidR="001F4D3D">
              <w:t xml:space="preserve"> of the </w:t>
            </w:r>
            <w:r w:rsidR="00DF21F5" w:rsidRPr="00BD5AEE">
              <w:t>MAHs.</w:t>
            </w:r>
          </w:p>
        </w:tc>
        <w:tc>
          <w:tcPr>
            <w:tcW w:w="1519" w:type="pct"/>
            <w:shd w:val="clear" w:color="auto" w:fill="E1E3F2"/>
          </w:tcPr>
          <w:p w14:paraId="37764C0B" w14:textId="77777777" w:rsidR="00DF21F5" w:rsidRDefault="004E08AB" w:rsidP="003D1E4E">
            <w:pPr>
              <w:pStyle w:val="TabletextrowsAgency"/>
            </w:pPr>
            <w:r>
              <w:t>Local Literature:</w:t>
            </w:r>
          </w:p>
          <w:p w14:paraId="50502533" w14:textId="77777777" w:rsidR="004E08AB" w:rsidRPr="004E5142" w:rsidRDefault="004E08AB" w:rsidP="003D1E4E">
            <w:pPr>
              <w:pStyle w:val="TabletextrowsAgency"/>
            </w:pPr>
            <w:r>
              <w:t>Process clarity</w:t>
            </w:r>
          </w:p>
        </w:tc>
      </w:tr>
      <w:tr w:rsidR="00325298" w14:paraId="04AB0ABE" w14:textId="77777777" w:rsidTr="00D73F3F">
        <w:tc>
          <w:tcPr>
            <w:tcW w:w="649" w:type="pct"/>
            <w:shd w:val="clear" w:color="auto" w:fill="E1E3F2"/>
          </w:tcPr>
          <w:p w14:paraId="54531A3B" w14:textId="77777777" w:rsidR="00325298" w:rsidRDefault="00325298" w:rsidP="003D1E4E">
            <w:pPr>
              <w:pStyle w:val="TabletextrowsAgency"/>
            </w:pPr>
            <w:r>
              <w:lastRenderedPageBreak/>
              <w:t>119</w:t>
            </w:r>
          </w:p>
        </w:tc>
        <w:tc>
          <w:tcPr>
            <w:tcW w:w="816" w:type="pct"/>
            <w:shd w:val="clear" w:color="auto" w:fill="E1E3F2"/>
          </w:tcPr>
          <w:p w14:paraId="13222021" w14:textId="77777777" w:rsidR="00325298" w:rsidRDefault="001B41FF" w:rsidP="003D1E4E">
            <w:pPr>
              <w:pStyle w:val="TabletextrowsAgency"/>
            </w:pPr>
            <w:r>
              <w:t>EFPIA</w:t>
            </w:r>
          </w:p>
        </w:tc>
        <w:tc>
          <w:tcPr>
            <w:tcW w:w="2016" w:type="pct"/>
            <w:shd w:val="clear" w:color="auto" w:fill="E1E3F2"/>
          </w:tcPr>
          <w:p w14:paraId="1F374B89" w14:textId="77777777" w:rsidR="00325298" w:rsidRDefault="00325298" w:rsidP="00553FF1">
            <w:pPr>
              <w:spacing w:line="280" w:lineRule="exact"/>
              <w:rPr>
                <w:bCs/>
              </w:rPr>
            </w:pPr>
            <w:r w:rsidRPr="00325298">
              <w:rPr>
                <w:b/>
                <w:bCs/>
              </w:rPr>
              <w:t>Comment:</w:t>
            </w:r>
            <w:r w:rsidR="006B1FDD">
              <w:rPr>
                <w:b/>
                <w:bCs/>
              </w:rPr>
              <w:t xml:space="preserve"> </w:t>
            </w:r>
            <w:r w:rsidR="006B1FDD" w:rsidRPr="006B1FDD">
              <w:rPr>
                <w:bCs/>
              </w:rPr>
              <w:t>Re</w:t>
            </w:r>
            <w:r w:rsidRPr="00325298">
              <w:rPr>
                <w:b/>
                <w:bCs/>
              </w:rPr>
              <w:t xml:space="preserve"> </w:t>
            </w:r>
            <w:r w:rsidR="006B1FDD" w:rsidRPr="00325298">
              <w:t>“</w:t>
            </w:r>
            <w:r w:rsidR="006B1FDD" w:rsidRPr="00325298">
              <w:rPr>
                <w:i/>
                <w:iCs/>
              </w:rPr>
              <w:t>changes published in Oct and effective in January to allow MAH to adapt”</w:t>
            </w:r>
            <w:r w:rsidR="006B1FDD">
              <w:t xml:space="preserve">, </w:t>
            </w:r>
            <w:r w:rsidRPr="00325298">
              <w:rPr>
                <w:bCs/>
              </w:rPr>
              <w:t xml:space="preserve">If the substance list </w:t>
            </w:r>
            <w:r w:rsidR="006B1FDD">
              <w:rPr>
                <w:bCs/>
              </w:rPr>
              <w:t>is</w:t>
            </w:r>
            <w:r w:rsidRPr="00325298">
              <w:rPr>
                <w:bCs/>
              </w:rPr>
              <w:t xml:space="preserve"> reduced significantly, MAH’s may not have time to prepare.</w:t>
            </w:r>
          </w:p>
          <w:p w14:paraId="27598D6E" w14:textId="77777777" w:rsidR="00553FF1" w:rsidRPr="00553FF1" w:rsidRDefault="00E91956" w:rsidP="00E91956">
            <w:pPr>
              <w:pStyle w:val="TabletextrowsAgency"/>
              <w:rPr>
                <w:b/>
                <w:u w:val="single"/>
              </w:rPr>
            </w:pPr>
            <w:r>
              <w:rPr>
                <w:b/>
                <w:u w:val="single"/>
              </w:rPr>
              <w:t>Proposed change</w:t>
            </w:r>
            <w:r w:rsidR="00553FF1" w:rsidRPr="00DF21F5">
              <w:rPr>
                <w:b/>
                <w:u w:val="single"/>
              </w:rPr>
              <w:t xml:space="preserve">: </w:t>
            </w:r>
            <w:r w:rsidR="00553FF1" w:rsidRPr="00553FF1">
              <w:rPr>
                <w:bCs/>
              </w:rPr>
              <w:t xml:space="preserve"> </w:t>
            </w:r>
            <w:r>
              <w:rPr>
                <w:bCs/>
              </w:rPr>
              <w:t>That</w:t>
            </w:r>
            <w:r w:rsidR="00553FF1" w:rsidRPr="00325298">
              <w:rPr>
                <w:bCs/>
              </w:rPr>
              <w:t xml:space="preserve"> the EMA provide additional notification to MAH’s if there will be substantial changes to the substance list</w:t>
            </w:r>
          </w:p>
        </w:tc>
        <w:tc>
          <w:tcPr>
            <w:tcW w:w="1519" w:type="pct"/>
            <w:shd w:val="clear" w:color="auto" w:fill="E1E3F2"/>
          </w:tcPr>
          <w:p w14:paraId="31937374" w14:textId="77777777" w:rsidR="00325298" w:rsidRDefault="004E08AB" w:rsidP="003D1E4E">
            <w:pPr>
              <w:pStyle w:val="TabletextrowsAgency"/>
            </w:pPr>
            <w:r>
              <w:t>Search Criteria:</w:t>
            </w:r>
          </w:p>
          <w:p w14:paraId="00C0EF5A" w14:textId="77777777" w:rsidR="004E08AB" w:rsidRPr="004E5142" w:rsidRDefault="004E08AB" w:rsidP="003D1E4E">
            <w:pPr>
              <w:pStyle w:val="TabletextrowsAgency"/>
            </w:pPr>
            <w:r>
              <w:t>Transparency / Compliance</w:t>
            </w:r>
          </w:p>
        </w:tc>
      </w:tr>
      <w:tr w:rsidR="00A85C0A" w14:paraId="09A04722" w14:textId="77777777" w:rsidTr="00D73F3F">
        <w:tc>
          <w:tcPr>
            <w:tcW w:w="649" w:type="pct"/>
            <w:shd w:val="clear" w:color="auto" w:fill="E1E3F2"/>
          </w:tcPr>
          <w:p w14:paraId="30C7D399" w14:textId="77777777" w:rsidR="00A85C0A" w:rsidRDefault="00A85C0A" w:rsidP="003D1E4E">
            <w:pPr>
              <w:pStyle w:val="TabletextrowsAgency"/>
            </w:pPr>
            <w:r>
              <w:t>126</w:t>
            </w:r>
          </w:p>
        </w:tc>
        <w:tc>
          <w:tcPr>
            <w:tcW w:w="816" w:type="pct"/>
            <w:shd w:val="clear" w:color="auto" w:fill="E1E3F2"/>
          </w:tcPr>
          <w:p w14:paraId="7D0D58DF" w14:textId="77777777" w:rsidR="00A85C0A" w:rsidRDefault="001B41FF" w:rsidP="003D1E4E">
            <w:pPr>
              <w:pStyle w:val="TabletextrowsAgency"/>
            </w:pPr>
            <w:r>
              <w:t>EFPIA</w:t>
            </w:r>
          </w:p>
        </w:tc>
        <w:tc>
          <w:tcPr>
            <w:tcW w:w="2016" w:type="pct"/>
            <w:shd w:val="clear" w:color="auto" w:fill="E1E3F2"/>
          </w:tcPr>
          <w:p w14:paraId="04175E16" w14:textId="77777777" w:rsidR="00AB66E4" w:rsidRDefault="00A85C0A" w:rsidP="00AB66E4">
            <w:pPr>
              <w:spacing w:line="280" w:lineRule="exact"/>
              <w:rPr>
                <w:rFonts w:eastAsia="Times New Roman"/>
              </w:rPr>
            </w:pPr>
            <w:r>
              <w:rPr>
                <w:rFonts w:eastAsia="Times New Roman"/>
                <w:b/>
              </w:rPr>
              <w:t xml:space="preserve">Comment: </w:t>
            </w:r>
            <w:r w:rsidRPr="00A85C0A">
              <w:rPr>
                <w:rFonts w:eastAsia="Times New Roman"/>
              </w:rPr>
              <w:t xml:space="preserve"> The qualification of an adverse event as an adverse reaction implies an assessment of the causal relationship, cf. GVP VI B.2 (validation of reports): "If the primary source has made an explicit statement that a causal relationship between the medicinal product and the adverse event has been excluded and the receiver (</w:t>
            </w:r>
            <w:r w:rsidR="00AB66E4">
              <w:rPr>
                <w:rFonts w:eastAsia="Times New Roman"/>
              </w:rPr>
              <w:t>CA</w:t>
            </w:r>
            <w:r w:rsidRPr="00A85C0A">
              <w:rPr>
                <w:rFonts w:eastAsia="Times New Roman"/>
              </w:rPr>
              <w:t xml:space="preserve"> or MAH) agrees with this, the report does not qualify as a valid ICSR since the minimum information is incomplete".  Whether the receiver agrees or not with the exclusion of the causal relationship depends on the expertise of the receiver regarding the active substance.  </w:t>
            </w:r>
          </w:p>
          <w:p w14:paraId="0F811FA0" w14:textId="77777777" w:rsidR="00A85C0A" w:rsidRPr="0044302F" w:rsidRDefault="00AB66E4" w:rsidP="00AB66E4">
            <w:pPr>
              <w:spacing w:line="280" w:lineRule="exact"/>
              <w:rPr>
                <w:rFonts w:eastAsia="Times New Roman"/>
              </w:rPr>
            </w:pPr>
            <w:r w:rsidRPr="00DF21F5">
              <w:rPr>
                <w:b/>
                <w:u w:val="single"/>
              </w:rPr>
              <w:t>Proposed changes</w:t>
            </w:r>
            <w:r w:rsidRPr="00DF21F5">
              <w:rPr>
                <w:b/>
              </w:rPr>
              <w:t>:</w:t>
            </w:r>
            <w:r w:rsidRPr="00BD5AEE">
              <w:t xml:space="preserve"> </w:t>
            </w:r>
            <w:r>
              <w:rPr>
                <w:rFonts w:eastAsia="Times New Roman"/>
              </w:rPr>
              <w:t>Clarify how</w:t>
            </w:r>
            <w:r w:rsidR="00A85C0A" w:rsidRPr="00A85C0A">
              <w:rPr>
                <w:rFonts w:eastAsia="Times New Roman"/>
              </w:rPr>
              <w:t xml:space="preserve"> the Agency </w:t>
            </w:r>
            <w:r>
              <w:rPr>
                <w:rFonts w:eastAsia="Times New Roman"/>
              </w:rPr>
              <w:t xml:space="preserve">will </w:t>
            </w:r>
            <w:r w:rsidR="00A85C0A" w:rsidRPr="00A85C0A">
              <w:rPr>
                <w:rFonts w:eastAsia="Times New Roman"/>
              </w:rPr>
              <w:t xml:space="preserve">ensure the Service Provider has the adequate expertise for all the active substances that will fall in the scope of their activities? Or will the Provider screen </w:t>
            </w:r>
            <w:r w:rsidR="0044302F">
              <w:rPr>
                <w:rFonts w:eastAsia="Times New Roman"/>
              </w:rPr>
              <w:t>and enter</w:t>
            </w:r>
            <w:r w:rsidR="00A85C0A" w:rsidRPr="00A85C0A">
              <w:rPr>
                <w:rFonts w:eastAsia="Times New Roman"/>
              </w:rPr>
              <w:t xml:space="preserve"> all adverse events?                                                                                                                                                                                                                                                                                                                                                                                                                                                                       </w:t>
            </w:r>
          </w:p>
        </w:tc>
        <w:tc>
          <w:tcPr>
            <w:tcW w:w="1519" w:type="pct"/>
            <w:shd w:val="clear" w:color="auto" w:fill="E1E3F2"/>
          </w:tcPr>
          <w:p w14:paraId="67A7085A" w14:textId="77777777" w:rsidR="00A85C0A" w:rsidRDefault="004E08AB" w:rsidP="003D1E4E">
            <w:pPr>
              <w:pStyle w:val="TabletextrowsAgency"/>
            </w:pPr>
            <w:r>
              <w:t>Assessment:</w:t>
            </w:r>
          </w:p>
          <w:p w14:paraId="0DF84CA0" w14:textId="77777777" w:rsidR="004E08AB" w:rsidRPr="004E5142" w:rsidRDefault="004E08AB" w:rsidP="003D1E4E">
            <w:pPr>
              <w:pStyle w:val="TabletextrowsAgency"/>
            </w:pPr>
            <w:r>
              <w:t>Process clarity</w:t>
            </w:r>
          </w:p>
        </w:tc>
      </w:tr>
      <w:tr w:rsidR="00DF21F5" w14:paraId="6813C2C7" w14:textId="77777777" w:rsidTr="00D73F3F">
        <w:tc>
          <w:tcPr>
            <w:tcW w:w="649" w:type="pct"/>
            <w:shd w:val="clear" w:color="auto" w:fill="E1E3F2"/>
          </w:tcPr>
          <w:p w14:paraId="64D58EE2" w14:textId="77777777" w:rsidR="00DF21F5" w:rsidRDefault="00DF21F5" w:rsidP="003D1E4E">
            <w:pPr>
              <w:pStyle w:val="TabletextrowsAgency"/>
            </w:pPr>
            <w:r>
              <w:t>130</w:t>
            </w:r>
          </w:p>
        </w:tc>
        <w:tc>
          <w:tcPr>
            <w:tcW w:w="816" w:type="pct"/>
            <w:shd w:val="clear" w:color="auto" w:fill="E1E3F2"/>
          </w:tcPr>
          <w:p w14:paraId="6FD76265" w14:textId="77777777" w:rsidR="00DF21F5" w:rsidRDefault="001B41FF" w:rsidP="003D1E4E">
            <w:pPr>
              <w:pStyle w:val="TabletextrowsAgency"/>
            </w:pPr>
            <w:r>
              <w:t>EFPIA</w:t>
            </w:r>
          </w:p>
        </w:tc>
        <w:tc>
          <w:tcPr>
            <w:tcW w:w="2016" w:type="pct"/>
            <w:shd w:val="clear" w:color="auto" w:fill="E1E3F2"/>
          </w:tcPr>
          <w:p w14:paraId="34E6A4EB" w14:textId="77777777" w:rsidR="00DF21F5" w:rsidRPr="00A22A31" w:rsidRDefault="00DF21F5" w:rsidP="00DF21F5">
            <w:pPr>
              <w:pStyle w:val="TabletextrowsAgency"/>
              <w:rPr>
                <w:b/>
              </w:rPr>
            </w:pPr>
            <w:r w:rsidRPr="00DF21F5">
              <w:rPr>
                <w:b/>
              </w:rPr>
              <w:t xml:space="preserve">Comment: </w:t>
            </w:r>
            <w:r w:rsidRPr="00BD5AEE">
              <w:t>We acknowledge that situations of off-label use will be identified by the agency. However the criteria used to identify the off-label use situations are not detailed in the guidance. Knowing that the same product may be approved by several MAHs for different indications, we recommend the off-label use situation to be</w:t>
            </w:r>
            <w:r>
              <w:t xml:space="preserve"> identified only if</w:t>
            </w:r>
            <w:r w:rsidRPr="00BD5AEE">
              <w:t xml:space="preserve"> a situation of off-label use</w:t>
            </w:r>
            <w:r>
              <w:t xml:space="preserve"> is described</w:t>
            </w:r>
            <w:r w:rsidRPr="00BD5AEE">
              <w:t xml:space="preserve"> in the article. We recommend both MAH and EMA to follow this rule.</w:t>
            </w:r>
          </w:p>
          <w:p w14:paraId="0F519853" w14:textId="77777777" w:rsidR="00DF21F5" w:rsidRPr="00A85C0A" w:rsidRDefault="00DF21F5" w:rsidP="00E91956">
            <w:pPr>
              <w:pStyle w:val="ListParagraph"/>
              <w:spacing w:line="280" w:lineRule="exact"/>
              <w:ind w:left="0"/>
              <w:rPr>
                <w:b/>
              </w:rPr>
            </w:pPr>
            <w:r w:rsidRPr="00DF21F5">
              <w:rPr>
                <w:b/>
                <w:u w:val="single"/>
              </w:rPr>
              <w:t>Proposed changes</w:t>
            </w:r>
            <w:r w:rsidRPr="00DF21F5">
              <w:rPr>
                <w:b/>
              </w:rPr>
              <w:t>:</w:t>
            </w:r>
            <w:r w:rsidRPr="00BD5AEE">
              <w:t xml:space="preserve"> </w:t>
            </w:r>
            <w:r w:rsidR="00E91956">
              <w:t>“</w:t>
            </w:r>
            <w:r w:rsidRPr="00BD5AEE">
              <w:t>as well as off-label use (as reported by the author), misuse, abuse overdose…</w:t>
            </w:r>
            <w:r w:rsidR="00E91956">
              <w:t>”</w:t>
            </w:r>
          </w:p>
        </w:tc>
        <w:tc>
          <w:tcPr>
            <w:tcW w:w="1519" w:type="pct"/>
            <w:shd w:val="clear" w:color="auto" w:fill="E1E3F2"/>
          </w:tcPr>
          <w:p w14:paraId="484D7088" w14:textId="77777777" w:rsidR="00DF21F5" w:rsidRDefault="004E08AB" w:rsidP="003D1E4E">
            <w:pPr>
              <w:pStyle w:val="TabletextrowsAgency"/>
            </w:pPr>
            <w:r>
              <w:t>Off-label Use:</w:t>
            </w:r>
          </w:p>
          <w:p w14:paraId="5DE2FD14" w14:textId="77777777" w:rsidR="004E08AB" w:rsidRPr="004E5142" w:rsidRDefault="004E08AB" w:rsidP="003D1E4E">
            <w:pPr>
              <w:pStyle w:val="TabletextrowsAgency"/>
            </w:pPr>
            <w:r>
              <w:t>Process clarity / Compliance</w:t>
            </w:r>
          </w:p>
        </w:tc>
      </w:tr>
      <w:tr w:rsidR="00283293" w14:paraId="1338AE47" w14:textId="77777777" w:rsidTr="00D73F3F">
        <w:tc>
          <w:tcPr>
            <w:tcW w:w="649" w:type="pct"/>
            <w:shd w:val="clear" w:color="auto" w:fill="E1E3F2"/>
          </w:tcPr>
          <w:p w14:paraId="59243651" w14:textId="77777777" w:rsidR="00283293" w:rsidRDefault="00283293" w:rsidP="00DF21F5">
            <w:pPr>
              <w:pStyle w:val="TabletextrowsAgency"/>
            </w:pPr>
            <w:r>
              <w:lastRenderedPageBreak/>
              <w:t>132</w:t>
            </w:r>
          </w:p>
        </w:tc>
        <w:tc>
          <w:tcPr>
            <w:tcW w:w="816" w:type="pct"/>
            <w:shd w:val="clear" w:color="auto" w:fill="E1E3F2"/>
          </w:tcPr>
          <w:p w14:paraId="5D449C16" w14:textId="77777777" w:rsidR="00283293" w:rsidRDefault="001B41FF" w:rsidP="00DF21F5">
            <w:pPr>
              <w:pStyle w:val="TabletextrowsAgency"/>
            </w:pPr>
            <w:r>
              <w:t>EFPIA</w:t>
            </w:r>
          </w:p>
        </w:tc>
        <w:tc>
          <w:tcPr>
            <w:tcW w:w="2016" w:type="pct"/>
            <w:shd w:val="clear" w:color="auto" w:fill="E1E3F2"/>
          </w:tcPr>
          <w:p w14:paraId="2C24EFF4" w14:textId="77777777" w:rsidR="00283293" w:rsidRPr="00E528DD" w:rsidRDefault="00283293" w:rsidP="00E528DD">
            <w:pPr>
              <w:spacing w:line="280" w:lineRule="exact"/>
              <w:rPr>
                <w:b/>
                <w:bCs/>
              </w:rPr>
            </w:pPr>
            <w:r w:rsidRPr="00283293">
              <w:rPr>
                <w:b/>
                <w:bCs/>
              </w:rPr>
              <w:t xml:space="preserve">Comment: </w:t>
            </w:r>
            <w:r w:rsidR="00E528DD" w:rsidRPr="00E528DD">
              <w:rPr>
                <w:bCs/>
              </w:rPr>
              <w:t xml:space="preserve"> Re</w:t>
            </w:r>
            <w:r w:rsidRPr="00283293">
              <w:rPr>
                <w:b/>
                <w:bCs/>
                <w:i/>
                <w:iCs/>
              </w:rPr>
              <w:t xml:space="preserve"> </w:t>
            </w:r>
            <w:r w:rsidR="00E528DD" w:rsidRPr="00283293">
              <w:t>“</w:t>
            </w:r>
            <w:r w:rsidR="00E528DD" w:rsidRPr="00283293">
              <w:rPr>
                <w:i/>
                <w:iCs/>
              </w:rPr>
              <w:t>The screening includes all suspected serious and no</w:t>
            </w:r>
            <w:r w:rsidR="00E528DD">
              <w:rPr>
                <w:i/>
                <w:iCs/>
              </w:rPr>
              <w:t>n-serious adverse reactions...”, w</w:t>
            </w:r>
            <w:r w:rsidRPr="00283293">
              <w:rPr>
                <w:bCs/>
              </w:rPr>
              <w:t>ill the EMA explicitly search for a specific causality in each article?</w:t>
            </w:r>
          </w:p>
        </w:tc>
        <w:tc>
          <w:tcPr>
            <w:tcW w:w="1519" w:type="pct"/>
            <w:shd w:val="clear" w:color="auto" w:fill="E1E3F2"/>
          </w:tcPr>
          <w:p w14:paraId="20163610" w14:textId="77777777" w:rsidR="00283293" w:rsidRDefault="004E08AB" w:rsidP="00DF21F5">
            <w:pPr>
              <w:pStyle w:val="TabletextrowsAgency"/>
            </w:pPr>
            <w:r>
              <w:t>Causality</w:t>
            </w:r>
            <w:r w:rsidR="00EC6BD1">
              <w:t>:</w:t>
            </w:r>
          </w:p>
          <w:p w14:paraId="0F24D629" w14:textId="77777777" w:rsidR="004E08AB" w:rsidRPr="004E5142" w:rsidRDefault="004E08AB" w:rsidP="00DF21F5">
            <w:pPr>
              <w:pStyle w:val="TabletextrowsAgency"/>
            </w:pPr>
            <w:r>
              <w:t>Process clarity</w:t>
            </w:r>
          </w:p>
        </w:tc>
      </w:tr>
      <w:tr w:rsidR="00AB7980" w14:paraId="226222EC" w14:textId="77777777" w:rsidTr="00D73F3F">
        <w:tc>
          <w:tcPr>
            <w:tcW w:w="649" w:type="pct"/>
            <w:shd w:val="clear" w:color="auto" w:fill="E1E3F2"/>
          </w:tcPr>
          <w:p w14:paraId="008282EF" w14:textId="77777777" w:rsidR="00AB7980" w:rsidRDefault="00AB7980" w:rsidP="00DF21F5">
            <w:pPr>
              <w:pStyle w:val="TabletextrowsAgency"/>
            </w:pPr>
            <w:r>
              <w:t>137-138</w:t>
            </w:r>
          </w:p>
        </w:tc>
        <w:tc>
          <w:tcPr>
            <w:tcW w:w="816" w:type="pct"/>
            <w:shd w:val="clear" w:color="auto" w:fill="E1E3F2"/>
          </w:tcPr>
          <w:p w14:paraId="29E5B396" w14:textId="77777777" w:rsidR="00AB7980" w:rsidRDefault="001B41FF" w:rsidP="00DF21F5">
            <w:pPr>
              <w:pStyle w:val="TabletextrowsAgency"/>
            </w:pPr>
            <w:r>
              <w:t>EFPIA</w:t>
            </w:r>
          </w:p>
        </w:tc>
        <w:tc>
          <w:tcPr>
            <w:tcW w:w="2016" w:type="pct"/>
            <w:shd w:val="clear" w:color="auto" w:fill="E1E3F2"/>
          </w:tcPr>
          <w:p w14:paraId="6C275423" w14:textId="77777777" w:rsidR="00AB7980" w:rsidRPr="00A457BE" w:rsidRDefault="00AB7980" w:rsidP="00AB7980">
            <w:pPr>
              <w:spacing w:line="280" w:lineRule="exact"/>
              <w:rPr>
                <w:b/>
              </w:rPr>
            </w:pPr>
            <w:r w:rsidRPr="00F24BDF">
              <w:rPr>
                <w:b/>
              </w:rPr>
              <w:t>Comment:</w:t>
            </w:r>
            <w:r>
              <w:rPr>
                <w:b/>
              </w:rPr>
              <w:t xml:space="preserve"> </w:t>
            </w:r>
            <w:r>
              <w:t>To comply with the worldwide regulations it is required to take all international trade names into account.</w:t>
            </w:r>
          </w:p>
          <w:p w14:paraId="3BD3B578" w14:textId="77777777" w:rsidR="00325298" w:rsidRDefault="00AB7980" w:rsidP="00AB7980">
            <w:pPr>
              <w:pStyle w:val="TabletextrowsAgency"/>
              <w:rPr>
                <w:b/>
              </w:rPr>
            </w:pPr>
            <w:r w:rsidRPr="00B2553A">
              <w:rPr>
                <w:b/>
              </w:rPr>
              <w:t>Proposed change (if any):</w:t>
            </w:r>
            <w:r>
              <w:rPr>
                <w:b/>
              </w:rPr>
              <w:t xml:space="preserve"> </w:t>
            </w:r>
          </w:p>
          <w:p w14:paraId="43E58A4B" w14:textId="77777777" w:rsidR="00AB7980" w:rsidRPr="00A457BE" w:rsidRDefault="00AB7980" w:rsidP="00A457BE">
            <w:pPr>
              <w:pStyle w:val="TabletextrowsAgency"/>
            </w:pPr>
            <w:r w:rsidRPr="00AB6CD9">
              <w:t>The substance groups search has to be exhaustive, where necessar</w:t>
            </w:r>
            <w:r>
              <w:t>y additional search by trade</w:t>
            </w:r>
            <w:r w:rsidRPr="00AB6CD9">
              <w:t xml:space="preserve"> name (in all their </w:t>
            </w:r>
            <w:r w:rsidR="00A457BE">
              <w:t xml:space="preserve">worldwide </w:t>
            </w:r>
            <w:r w:rsidRPr="00AB6CD9">
              <w:t xml:space="preserve">variants) is also to be taken into account. </w:t>
            </w:r>
          </w:p>
        </w:tc>
        <w:tc>
          <w:tcPr>
            <w:tcW w:w="1519" w:type="pct"/>
            <w:shd w:val="clear" w:color="auto" w:fill="E1E3F2"/>
          </w:tcPr>
          <w:p w14:paraId="57F746F2" w14:textId="77777777" w:rsidR="00AB7980" w:rsidRDefault="00EC6BD1" w:rsidP="00DF21F5">
            <w:pPr>
              <w:pStyle w:val="TabletextrowsAgency"/>
            </w:pPr>
            <w:r>
              <w:t>Search Criteria:</w:t>
            </w:r>
          </w:p>
          <w:p w14:paraId="44699ABD" w14:textId="77777777" w:rsidR="00EC6BD1" w:rsidRPr="004E5142" w:rsidRDefault="00EC6BD1" w:rsidP="00DF21F5">
            <w:pPr>
              <w:pStyle w:val="TabletextrowsAgency"/>
            </w:pPr>
            <w:r>
              <w:t>Process clarity / Compliance</w:t>
            </w:r>
          </w:p>
        </w:tc>
      </w:tr>
      <w:tr w:rsidR="001B1FFB" w14:paraId="64BEB5BF" w14:textId="77777777" w:rsidTr="00D73F3F">
        <w:tc>
          <w:tcPr>
            <w:tcW w:w="649" w:type="pct"/>
            <w:shd w:val="clear" w:color="auto" w:fill="E1E3F2"/>
          </w:tcPr>
          <w:p w14:paraId="29E27E8B" w14:textId="77777777" w:rsidR="001B1FFB" w:rsidRDefault="001B1FFB" w:rsidP="00BE7B0E">
            <w:pPr>
              <w:pStyle w:val="TabletextrowsAgency"/>
            </w:pPr>
            <w:r>
              <w:t>140</w:t>
            </w:r>
          </w:p>
        </w:tc>
        <w:tc>
          <w:tcPr>
            <w:tcW w:w="816" w:type="pct"/>
            <w:shd w:val="clear" w:color="auto" w:fill="E1E3F2"/>
          </w:tcPr>
          <w:p w14:paraId="711D66EC" w14:textId="77777777" w:rsidR="001B1FFB" w:rsidRDefault="001B41FF" w:rsidP="00BE7B0E">
            <w:pPr>
              <w:pStyle w:val="TabletextrowsAgency"/>
            </w:pPr>
            <w:r>
              <w:t>EFPIA</w:t>
            </w:r>
          </w:p>
        </w:tc>
        <w:tc>
          <w:tcPr>
            <w:tcW w:w="2016" w:type="pct"/>
            <w:shd w:val="clear" w:color="auto" w:fill="E1E3F2"/>
          </w:tcPr>
          <w:p w14:paraId="10025011" w14:textId="77777777" w:rsidR="001B1FFB" w:rsidRPr="00CC48C4" w:rsidRDefault="001B1FFB" w:rsidP="00BE7B0E">
            <w:pPr>
              <w:spacing w:line="280" w:lineRule="exact"/>
              <w:rPr>
                <w:b/>
              </w:rPr>
            </w:pPr>
            <w:r w:rsidRPr="00A85C0A">
              <w:rPr>
                <w:b/>
              </w:rPr>
              <w:t xml:space="preserve">Comment: </w:t>
            </w:r>
            <w:r w:rsidRPr="00413763">
              <w:rPr>
                <w:rFonts w:eastAsia="Times New Roman"/>
              </w:rPr>
              <w:t>How will the Agency manage the screening of articles that are not yet indexed when they are introduced in the literature databases?  Search criteria based on indexation will not retrieve these articles.</w:t>
            </w:r>
          </w:p>
        </w:tc>
        <w:tc>
          <w:tcPr>
            <w:tcW w:w="1519" w:type="pct"/>
            <w:shd w:val="clear" w:color="auto" w:fill="E1E3F2"/>
          </w:tcPr>
          <w:p w14:paraId="43C6580B" w14:textId="77777777" w:rsidR="001B1FFB" w:rsidRDefault="00EC6BD1" w:rsidP="00BE7B0E">
            <w:pPr>
              <w:pStyle w:val="TabletextrowsAgency"/>
            </w:pPr>
            <w:r>
              <w:t>Search Criteria:</w:t>
            </w:r>
          </w:p>
          <w:p w14:paraId="2B2C7CDB" w14:textId="77777777" w:rsidR="00EC6BD1" w:rsidRPr="004E5142" w:rsidRDefault="00EC6BD1" w:rsidP="00EC6BD1">
            <w:pPr>
              <w:pStyle w:val="TabletextrowsAgency"/>
            </w:pPr>
            <w:r>
              <w:t xml:space="preserve">Process clarity </w:t>
            </w:r>
          </w:p>
        </w:tc>
      </w:tr>
      <w:tr w:rsidR="00413763" w14:paraId="025904B8" w14:textId="77777777" w:rsidTr="00D73F3F">
        <w:tc>
          <w:tcPr>
            <w:tcW w:w="649" w:type="pct"/>
            <w:shd w:val="clear" w:color="auto" w:fill="E1E3F2"/>
          </w:tcPr>
          <w:p w14:paraId="034F5893" w14:textId="77777777" w:rsidR="00413763" w:rsidRDefault="00413763" w:rsidP="00BE7B0E">
            <w:pPr>
              <w:pStyle w:val="TabletextrowsAgency"/>
            </w:pPr>
            <w:r>
              <w:t>14</w:t>
            </w:r>
            <w:r w:rsidR="001B1FFB">
              <w:t>1</w:t>
            </w:r>
          </w:p>
        </w:tc>
        <w:tc>
          <w:tcPr>
            <w:tcW w:w="816" w:type="pct"/>
            <w:shd w:val="clear" w:color="auto" w:fill="E1E3F2"/>
          </w:tcPr>
          <w:p w14:paraId="1605C05E" w14:textId="77777777" w:rsidR="00413763" w:rsidRDefault="001B41FF" w:rsidP="00BE7B0E">
            <w:pPr>
              <w:pStyle w:val="TabletextrowsAgency"/>
            </w:pPr>
            <w:r>
              <w:t>EFPIA</w:t>
            </w:r>
          </w:p>
        </w:tc>
        <w:tc>
          <w:tcPr>
            <w:tcW w:w="2016" w:type="pct"/>
            <w:shd w:val="clear" w:color="auto" w:fill="E1E3F2"/>
          </w:tcPr>
          <w:p w14:paraId="75B19C21" w14:textId="77777777" w:rsidR="00CC48C4" w:rsidRDefault="00413763" w:rsidP="00CC48C4">
            <w:pPr>
              <w:spacing w:line="280" w:lineRule="exact"/>
              <w:rPr>
                <w:rFonts w:eastAsia="Times New Roman"/>
              </w:rPr>
            </w:pPr>
            <w:r w:rsidRPr="00A85C0A">
              <w:rPr>
                <w:b/>
              </w:rPr>
              <w:t xml:space="preserve">Comment: </w:t>
            </w:r>
            <w:r w:rsidR="00CC48C4">
              <w:rPr>
                <w:b/>
              </w:rPr>
              <w:t xml:space="preserve"> </w:t>
            </w:r>
            <w:r w:rsidR="001B1FFB" w:rsidRPr="001B1FFB">
              <w:rPr>
                <w:rFonts w:eastAsia="Times New Roman"/>
              </w:rPr>
              <w:t>Does "The search is performed at full text level" mean that search</w:t>
            </w:r>
            <w:r w:rsidR="00CC48C4">
              <w:rPr>
                <w:rFonts w:eastAsia="Times New Roman"/>
              </w:rPr>
              <w:t>ing</w:t>
            </w:r>
            <w:r w:rsidR="001B1FFB" w:rsidRPr="001B1FFB">
              <w:rPr>
                <w:rFonts w:eastAsia="Times New Roman"/>
              </w:rPr>
              <w:t xml:space="preserve"> the full text article or the "full text" of the reference from the commercial database (i.e., only the title, author abstract, citation, and indexing)?  </w:t>
            </w:r>
            <w:r w:rsidR="00183BEA" w:rsidRPr="001B1FFB">
              <w:rPr>
                <w:rFonts w:eastAsia="Times New Roman"/>
              </w:rPr>
              <w:t>GVP Module VI requires the MAH to review the full-text article; the services should do the same since adverse events are often not mentioned in the abstract.</w:t>
            </w:r>
          </w:p>
          <w:p w14:paraId="39BFA7DB" w14:textId="77777777" w:rsidR="00654642" w:rsidRPr="00654642" w:rsidRDefault="00FC0FAA" w:rsidP="00CC48C4">
            <w:pPr>
              <w:pStyle w:val="TabletextrowsAgency"/>
              <w:rPr>
                <w:lang w:val="en-US"/>
              </w:rPr>
            </w:pPr>
            <w:r>
              <w:rPr>
                <w:b/>
              </w:rPr>
              <w:t xml:space="preserve">Proposed change </w:t>
            </w:r>
            <w:r w:rsidR="00CC48C4" w:rsidRPr="00B2553A">
              <w:rPr>
                <w:b/>
              </w:rPr>
              <w:t>:</w:t>
            </w:r>
            <w:r w:rsidR="00CC48C4">
              <w:rPr>
                <w:b/>
              </w:rPr>
              <w:t xml:space="preserve"> </w:t>
            </w:r>
            <w:r w:rsidR="00183BEA" w:rsidRPr="00325298">
              <w:rPr>
                <w:lang w:val="en-US"/>
              </w:rPr>
              <w:t>The search is performed at full text level</w:t>
            </w:r>
          </w:p>
        </w:tc>
        <w:tc>
          <w:tcPr>
            <w:tcW w:w="1519" w:type="pct"/>
            <w:shd w:val="clear" w:color="auto" w:fill="E1E3F2"/>
          </w:tcPr>
          <w:p w14:paraId="08975ECB" w14:textId="77777777" w:rsidR="00413763" w:rsidRDefault="00EC6BD1" w:rsidP="00BE7B0E">
            <w:pPr>
              <w:pStyle w:val="TabletextrowsAgency"/>
            </w:pPr>
            <w:r>
              <w:t>Search Criteria:</w:t>
            </w:r>
          </w:p>
          <w:p w14:paraId="321C4A3E" w14:textId="77777777" w:rsidR="00EC6BD1" w:rsidRPr="004E5142" w:rsidRDefault="00EC6BD1" w:rsidP="00EC6BD1">
            <w:pPr>
              <w:pStyle w:val="TabletextrowsAgency"/>
            </w:pPr>
            <w:r>
              <w:t xml:space="preserve">Process clarity </w:t>
            </w:r>
          </w:p>
        </w:tc>
      </w:tr>
      <w:tr w:rsidR="00D875A2" w14:paraId="7256F2B3" w14:textId="77777777" w:rsidTr="00D73F3F">
        <w:tc>
          <w:tcPr>
            <w:tcW w:w="649" w:type="pct"/>
            <w:shd w:val="clear" w:color="auto" w:fill="E1E3F2"/>
          </w:tcPr>
          <w:p w14:paraId="2C16B24E" w14:textId="77777777" w:rsidR="00D875A2" w:rsidRDefault="00D875A2" w:rsidP="00BE7B0E">
            <w:pPr>
              <w:pStyle w:val="TabletextrowsAgency"/>
            </w:pPr>
            <w:r>
              <w:t>141-143</w:t>
            </w:r>
          </w:p>
        </w:tc>
        <w:tc>
          <w:tcPr>
            <w:tcW w:w="816" w:type="pct"/>
            <w:shd w:val="clear" w:color="auto" w:fill="E1E3F2"/>
          </w:tcPr>
          <w:p w14:paraId="7DC31B4C" w14:textId="77777777" w:rsidR="00183BEA" w:rsidRDefault="001B41FF" w:rsidP="00EC6BD1">
            <w:pPr>
              <w:pStyle w:val="TabletextrowsAgency"/>
            </w:pPr>
            <w:r>
              <w:t>EFPIA</w:t>
            </w:r>
          </w:p>
        </w:tc>
        <w:tc>
          <w:tcPr>
            <w:tcW w:w="2016" w:type="pct"/>
            <w:shd w:val="clear" w:color="auto" w:fill="E1E3F2"/>
          </w:tcPr>
          <w:p w14:paraId="40FB35F5" w14:textId="77777777" w:rsidR="00EC6BD1" w:rsidRDefault="00D875A2" w:rsidP="00FC0FAA">
            <w:pPr>
              <w:spacing w:line="280" w:lineRule="exact"/>
              <w:rPr>
                <w:rFonts w:cs="Tahoma"/>
                <w:color w:val="000000"/>
                <w:lang w:eastAsia="en-GB"/>
              </w:rPr>
            </w:pPr>
            <w:r w:rsidRPr="00D875A2">
              <w:rPr>
                <w:b/>
                <w:lang w:val="en-US"/>
              </w:rPr>
              <w:t>Comment</w:t>
            </w:r>
            <w:r>
              <w:rPr>
                <w:b/>
                <w:lang w:val="en-US"/>
              </w:rPr>
              <w:t>s</w:t>
            </w:r>
            <w:r w:rsidRPr="00D875A2">
              <w:rPr>
                <w:b/>
                <w:lang w:val="en-US"/>
              </w:rPr>
              <w:t>:</w:t>
            </w:r>
            <w:r w:rsidR="00D73F3F">
              <w:rPr>
                <w:b/>
                <w:lang w:val="en-US"/>
              </w:rPr>
              <w:t xml:space="preserve"> </w:t>
            </w:r>
            <w:r w:rsidRPr="00D875A2">
              <w:rPr>
                <w:rFonts w:cs="Tahoma"/>
                <w:color w:val="000000"/>
                <w:lang w:eastAsia="en-GB"/>
              </w:rPr>
              <w:t xml:space="preserve">Will the agency be entering all articles reviewed, including those considered not reportable or non-valid? </w:t>
            </w:r>
            <w:proofErr w:type="gramStart"/>
            <w:r w:rsidRPr="00D875A2">
              <w:rPr>
                <w:rFonts w:cs="Tahoma"/>
                <w:color w:val="000000"/>
                <w:lang w:eastAsia="en-GB"/>
              </w:rPr>
              <w:t>or</w:t>
            </w:r>
            <w:proofErr w:type="gramEnd"/>
            <w:r w:rsidRPr="00D875A2">
              <w:rPr>
                <w:rFonts w:cs="Tahoma"/>
                <w:color w:val="000000"/>
                <w:lang w:eastAsia="en-GB"/>
              </w:rPr>
              <w:t xml:space="preserve"> only those with identified ICSRs? </w:t>
            </w:r>
          </w:p>
          <w:p w14:paraId="0051E1E2" w14:textId="77777777" w:rsidR="00D73F3F" w:rsidRDefault="00D73F3F" w:rsidP="00FC0FAA">
            <w:pPr>
              <w:spacing w:line="280" w:lineRule="exact"/>
              <w:rPr>
                <w:rFonts w:cs="Tahoma"/>
                <w:color w:val="000000"/>
                <w:lang w:eastAsia="en-GB"/>
              </w:rPr>
            </w:pPr>
            <w:r>
              <w:rPr>
                <w:rFonts w:cs="Tahoma"/>
                <w:color w:val="000000"/>
                <w:lang w:eastAsia="en-GB"/>
              </w:rPr>
              <w:t>W</w:t>
            </w:r>
            <w:r w:rsidRPr="00AF3D7F">
              <w:t>ill the Ag</w:t>
            </w:r>
            <w:r>
              <w:t xml:space="preserve">ency be sharing the literature </w:t>
            </w:r>
            <w:r w:rsidRPr="00AF3D7F">
              <w:t>case creation conventions with MAHs, including the criteria for excluding/including literature reports for further case processing?</w:t>
            </w:r>
            <w:r w:rsidRPr="00D875A2">
              <w:rPr>
                <w:rFonts w:cs="Tahoma"/>
                <w:color w:val="000000"/>
                <w:lang w:eastAsia="en-GB"/>
              </w:rPr>
              <w:t xml:space="preserve"> What if a</w:t>
            </w:r>
            <w:r>
              <w:rPr>
                <w:rFonts w:cs="Tahoma"/>
                <w:color w:val="000000"/>
                <w:lang w:eastAsia="en-GB"/>
              </w:rPr>
              <w:t>n</w:t>
            </w:r>
            <w:r w:rsidRPr="00D875A2">
              <w:rPr>
                <w:rFonts w:cs="Tahoma"/>
                <w:color w:val="000000"/>
                <w:lang w:eastAsia="en-GB"/>
              </w:rPr>
              <w:t xml:space="preserve"> MAH perceives an article differently than the agency?</w:t>
            </w:r>
          </w:p>
          <w:p w14:paraId="60534177" w14:textId="77777777" w:rsidR="00FC0FAA" w:rsidRPr="00FC0FAA" w:rsidRDefault="00FC0FAA" w:rsidP="00FC0FAA">
            <w:pPr>
              <w:spacing w:line="280" w:lineRule="exact"/>
              <w:rPr>
                <w:b/>
                <w:lang w:val="en-US"/>
              </w:rPr>
            </w:pPr>
            <w:r w:rsidRPr="00B2553A">
              <w:rPr>
                <w:b/>
              </w:rPr>
              <w:t>Proposed change (if any):</w:t>
            </w:r>
            <w:r>
              <w:rPr>
                <w:b/>
              </w:rPr>
              <w:t xml:space="preserve"> </w:t>
            </w:r>
            <w:r w:rsidRPr="00FC0FAA">
              <w:rPr>
                <w:rFonts w:cs="Tahoma"/>
                <w:color w:val="000000"/>
                <w:lang w:eastAsia="en-GB"/>
              </w:rPr>
              <w:t>Please provide clarification</w:t>
            </w:r>
          </w:p>
        </w:tc>
        <w:tc>
          <w:tcPr>
            <w:tcW w:w="1519" w:type="pct"/>
            <w:shd w:val="clear" w:color="auto" w:fill="E1E3F2"/>
          </w:tcPr>
          <w:p w14:paraId="75034C11" w14:textId="77777777" w:rsidR="00EC6BD1" w:rsidRDefault="00EC6BD1" w:rsidP="00EC6BD1">
            <w:pPr>
              <w:pStyle w:val="TabletextrowsAgency"/>
            </w:pPr>
            <w:r>
              <w:t>Assessment:</w:t>
            </w:r>
          </w:p>
          <w:p w14:paraId="1A8A2E9A" w14:textId="77777777" w:rsidR="00EC6BD1" w:rsidRDefault="00EC6BD1" w:rsidP="00EC6BD1">
            <w:pPr>
              <w:pStyle w:val="TabletextrowsAgency"/>
            </w:pPr>
            <w:r>
              <w:t>Process clarity / Compliance</w:t>
            </w:r>
          </w:p>
          <w:p w14:paraId="422A7853" w14:textId="77777777" w:rsidR="00D875A2" w:rsidRPr="004E5142" w:rsidRDefault="00D875A2" w:rsidP="00BE7B0E">
            <w:pPr>
              <w:pStyle w:val="TabletextrowsAgency"/>
            </w:pPr>
          </w:p>
        </w:tc>
      </w:tr>
      <w:tr w:rsidR="00DF21F5" w14:paraId="32C64D91" w14:textId="77777777" w:rsidTr="00D73F3F">
        <w:tc>
          <w:tcPr>
            <w:tcW w:w="649" w:type="pct"/>
            <w:shd w:val="clear" w:color="auto" w:fill="E1E3F2"/>
          </w:tcPr>
          <w:p w14:paraId="0CA9A21C" w14:textId="77777777" w:rsidR="00DF21F5" w:rsidRDefault="00DF21F5" w:rsidP="00BE7B0E">
            <w:pPr>
              <w:pStyle w:val="TabletextrowsAgency"/>
            </w:pPr>
            <w:r>
              <w:t>144</w:t>
            </w:r>
          </w:p>
        </w:tc>
        <w:tc>
          <w:tcPr>
            <w:tcW w:w="816" w:type="pct"/>
            <w:shd w:val="clear" w:color="auto" w:fill="E1E3F2"/>
          </w:tcPr>
          <w:p w14:paraId="62BCC0FF" w14:textId="77777777" w:rsidR="00DF21F5" w:rsidRDefault="001B41FF" w:rsidP="00BE7B0E">
            <w:pPr>
              <w:pStyle w:val="TabletextrowsAgency"/>
            </w:pPr>
            <w:r>
              <w:t>EFPIA</w:t>
            </w:r>
          </w:p>
        </w:tc>
        <w:tc>
          <w:tcPr>
            <w:tcW w:w="2016" w:type="pct"/>
            <w:shd w:val="clear" w:color="auto" w:fill="E1E3F2"/>
          </w:tcPr>
          <w:p w14:paraId="7E44D2A5" w14:textId="77777777" w:rsidR="00DF21F5" w:rsidRPr="00A85C0A" w:rsidRDefault="00DF21F5" w:rsidP="00183BEA">
            <w:pPr>
              <w:spacing w:line="280" w:lineRule="exact"/>
              <w:rPr>
                <w:b/>
              </w:rPr>
            </w:pPr>
            <w:r w:rsidRPr="00DF21F5">
              <w:rPr>
                <w:b/>
                <w:lang w:val="en-US"/>
              </w:rPr>
              <w:t>Comment:</w:t>
            </w:r>
            <w:r w:rsidRPr="00BD5AEE">
              <w:rPr>
                <w:lang w:val="en-US"/>
              </w:rPr>
              <w:t xml:space="preserve"> </w:t>
            </w:r>
            <w:r w:rsidR="00183BEA">
              <w:rPr>
                <w:lang w:val="en-US"/>
              </w:rPr>
              <w:t>Will the</w:t>
            </w:r>
            <w:r>
              <w:rPr>
                <w:lang w:val="en-US"/>
              </w:rPr>
              <w:t xml:space="preserve"> MAH have access to the audit report</w:t>
            </w:r>
            <w:r w:rsidR="00183BEA">
              <w:rPr>
                <w:lang w:val="en-US"/>
              </w:rPr>
              <w:t>?</w:t>
            </w:r>
          </w:p>
        </w:tc>
        <w:tc>
          <w:tcPr>
            <w:tcW w:w="1519" w:type="pct"/>
            <w:shd w:val="clear" w:color="auto" w:fill="E1E3F2"/>
          </w:tcPr>
          <w:p w14:paraId="3152063E" w14:textId="77777777" w:rsidR="00DF21F5" w:rsidRPr="004E5142" w:rsidRDefault="00210DFB" w:rsidP="00210DFB">
            <w:pPr>
              <w:pStyle w:val="TabletextrowsAgency"/>
            </w:pPr>
            <w:r>
              <w:t xml:space="preserve">Access: </w:t>
            </w:r>
            <w:r w:rsidR="00654642">
              <w:t xml:space="preserve"> </w:t>
            </w:r>
            <w:r>
              <w:t xml:space="preserve">Process clarity </w:t>
            </w:r>
          </w:p>
        </w:tc>
      </w:tr>
      <w:tr w:rsidR="00DF21F5" w14:paraId="0DD53E7A" w14:textId="77777777" w:rsidTr="00D73F3F">
        <w:tc>
          <w:tcPr>
            <w:tcW w:w="649" w:type="pct"/>
            <w:shd w:val="clear" w:color="auto" w:fill="E1E3F2"/>
          </w:tcPr>
          <w:p w14:paraId="7C9A93BB" w14:textId="77777777" w:rsidR="00DF21F5" w:rsidRDefault="00DF21F5" w:rsidP="00DF21F5">
            <w:pPr>
              <w:pStyle w:val="TabletextrowsAgency"/>
            </w:pPr>
            <w:r>
              <w:lastRenderedPageBreak/>
              <w:t>14</w:t>
            </w:r>
            <w:r w:rsidR="00D73F3F">
              <w:t>5-9</w:t>
            </w:r>
          </w:p>
        </w:tc>
        <w:tc>
          <w:tcPr>
            <w:tcW w:w="816" w:type="pct"/>
            <w:shd w:val="clear" w:color="auto" w:fill="E1E3F2"/>
          </w:tcPr>
          <w:p w14:paraId="512267E4" w14:textId="77777777" w:rsidR="00DF21F5" w:rsidRDefault="001B41FF" w:rsidP="00DF21F5">
            <w:pPr>
              <w:pStyle w:val="TabletextrowsAgency"/>
            </w:pPr>
            <w:r>
              <w:t>EFPIA</w:t>
            </w:r>
          </w:p>
        </w:tc>
        <w:tc>
          <w:tcPr>
            <w:tcW w:w="2016" w:type="pct"/>
            <w:shd w:val="clear" w:color="auto" w:fill="E1E3F2"/>
          </w:tcPr>
          <w:p w14:paraId="2FF87284" w14:textId="77777777" w:rsidR="00DF21F5" w:rsidRPr="00BD5AEE" w:rsidRDefault="00DF21F5" w:rsidP="00DF21F5">
            <w:pPr>
              <w:pStyle w:val="TabletextrowsAgency"/>
            </w:pPr>
            <w:r w:rsidRPr="00DF21F5">
              <w:rPr>
                <w:b/>
              </w:rPr>
              <w:t>Comment:</w:t>
            </w:r>
            <w:r w:rsidRPr="00BD5AEE">
              <w:t xml:space="preserve"> Knowing that the database to be used is not defined in this guidance, we recommend to specify that search constructions should be revised and updated if needed, each time a thesaurus update is released. </w:t>
            </w:r>
          </w:p>
          <w:p w14:paraId="694DFFE0" w14:textId="77777777" w:rsidR="00DF21F5" w:rsidRPr="00D73F3F" w:rsidRDefault="00DF21F5" w:rsidP="00DF21F5">
            <w:pPr>
              <w:spacing w:line="280" w:lineRule="exact"/>
            </w:pPr>
            <w:r w:rsidRPr="00DF21F5">
              <w:rPr>
                <w:b/>
                <w:u w:val="single"/>
              </w:rPr>
              <w:t>Proposed changes</w:t>
            </w:r>
            <w:r w:rsidRPr="00DF21F5">
              <w:rPr>
                <w:b/>
              </w:rPr>
              <w:t>:</w:t>
            </w:r>
            <w:r w:rsidRPr="00BD5AEE">
              <w:t xml:space="preserve"> Search constructions are routinely updated and maintained where necessary to improve search precision and to align with any updates to the thesaurus used for indexing as well as to the substance groups as referred to in chapter 2.1.</w:t>
            </w:r>
            <w:r w:rsidR="00D73F3F">
              <w:t xml:space="preserve"> . </w:t>
            </w:r>
            <w:r w:rsidR="00D73F3F" w:rsidRPr="00AE06E3">
              <w:rPr>
                <w:color w:val="0000FF"/>
              </w:rPr>
              <w:t>Updates are announced in due time by the Agency.</w:t>
            </w:r>
          </w:p>
        </w:tc>
        <w:tc>
          <w:tcPr>
            <w:tcW w:w="1519" w:type="pct"/>
            <w:shd w:val="clear" w:color="auto" w:fill="E1E3F2"/>
          </w:tcPr>
          <w:p w14:paraId="705E30FA" w14:textId="77777777" w:rsidR="00DF21F5" w:rsidRDefault="00210DFB" w:rsidP="00DF21F5">
            <w:pPr>
              <w:pStyle w:val="TabletextrowsAgency"/>
            </w:pPr>
            <w:r>
              <w:t>Search Criteria:</w:t>
            </w:r>
          </w:p>
          <w:p w14:paraId="6889E9A5" w14:textId="77777777" w:rsidR="00210DFB" w:rsidRPr="004E5142" w:rsidRDefault="00210DFB" w:rsidP="00DF21F5">
            <w:pPr>
              <w:pStyle w:val="TabletextrowsAgency"/>
            </w:pPr>
            <w:r>
              <w:t xml:space="preserve">Process clarity </w:t>
            </w:r>
          </w:p>
        </w:tc>
      </w:tr>
      <w:tr w:rsidR="00210DFB" w14:paraId="2DD91F84" w14:textId="77777777" w:rsidTr="00D73F3F">
        <w:tc>
          <w:tcPr>
            <w:tcW w:w="649" w:type="pct"/>
            <w:shd w:val="clear" w:color="auto" w:fill="E1E3F2"/>
          </w:tcPr>
          <w:p w14:paraId="48CA9880" w14:textId="77777777" w:rsidR="00210DFB" w:rsidRDefault="00210DFB" w:rsidP="00325298">
            <w:pPr>
              <w:pStyle w:val="TabletextrowsAgency"/>
            </w:pPr>
            <w:r>
              <w:t>158-161</w:t>
            </w:r>
          </w:p>
        </w:tc>
        <w:tc>
          <w:tcPr>
            <w:tcW w:w="816" w:type="pct"/>
            <w:shd w:val="clear" w:color="auto" w:fill="E1E3F2"/>
          </w:tcPr>
          <w:p w14:paraId="1F493999" w14:textId="77777777" w:rsidR="00210DFB" w:rsidRDefault="001B41FF" w:rsidP="003D1E4E">
            <w:pPr>
              <w:pStyle w:val="TabletextrowsAgency"/>
            </w:pPr>
            <w:r>
              <w:t>EFPIA</w:t>
            </w:r>
          </w:p>
        </w:tc>
        <w:tc>
          <w:tcPr>
            <w:tcW w:w="2016" w:type="pct"/>
            <w:shd w:val="clear" w:color="auto" w:fill="E1E3F2"/>
          </w:tcPr>
          <w:p w14:paraId="573366EA" w14:textId="77777777" w:rsidR="00210DFB" w:rsidRPr="0049282A" w:rsidRDefault="00210DFB" w:rsidP="0049282A">
            <w:pPr>
              <w:pStyle w:val="ListParagraph"/>
              <w:spacing w:line="280" w:lineRule="exact"/>
              <w:ind w:left="0"/>
            </w:pPr>
            <w:r w:rsidRPr="00D875A2">
              <w:rPr>
                <w:b/>
              </w:rPr>
              <w:t>Comment:</w:t>
            </w:r>
            <w:r>
              <w:rPr>
                <w:b/>
              </w:rPr>
              <w:t xml:space="preserve"> </w:t>
            </w:r>
            <w:r w:rsidRPr="0098102F">
              <w:t>What methods will the EMA provider use for translation of articles? Are they validated?</w:t>
            </w:r>
            <w:r>
              <w:t xml:space="preserve"> Where an</w:t>
            </w:r>
            <w:r w:rsidRPr="00D875A2">
              <w:t xml:space="preserve"> article is in a foreign language, will the agency translate into English and </w:t>
            </w:r>
            <w:r>
              <w:t>make text available to MAH?</w:t>
            </w:r>
          </w:p>
        </w:tc>
        <w:tc>
          <w:tcPr>
            <w:tcW w:w="1519" w:type="pct"/>
            <w:shd w:val="clear" w:color="auto" w:fill="E1E3F2"/>
          </w:tcPr>
          <w:p w14:paraId="6A001205" w14:textId="77777777" w:rsidR="00210DFB" w:rsidRDefault="00210DFB" w:rsidP="00104800">
            <w:pPr>
              <w:pStyle w:val="TabletextrowsAgency"/>
            </w:pPr>
            <w:r>
              <w:t>Translation:</w:t>
            </w:r>
          </w:p>
          <w:p w14:paraId="1FC0430D" w14:textId="77777777" w:rsidR="00210DFB" w:rsidRDefault="00210DFB" w:rsidP="00104800">
            <w:pPr>
              <w:pStyle w:val="TabletextrowsAgency"/>
            </w:pPr>
            <w:r>
              <w:t xml:space="preserve">Process clarity </w:t>
            </w:r>
          </w:p>
        </w:tc>
      </w:tr>
      <w:tr w:rsidR="00210DFB" w:rsidRPr="004E5142" w14:paraId="280BE5BE" w14:textId="77777777" w:rsidTr="00D73F3F">
        <w:tc>
          <w:tcPr>
            <w:tcW w:w="649" w:type="pct"/>
            <w:shd w:val="clear" w:color="auto" w:fill="E1E3F2"/>
          </w:tcPr>
          <w:p w14:paraId="7D9AE3F7" w14:textId="77777777" w:rsidR="00210DFB" w:rsidRDefault="00210DFB" w:rsidP="0003420C">
            <w:pPr>
              <w:pStyle w:val="TabletextrowsAgency"/>
            </w:pPr>
            <w:r>
              <w:t>166-167</w:t>
            </w:r>
          </w:p>
        </w:tc>
        <w:tc>
          <w:tcPr>
            <w:tcW w:w="816" w:type="pct"/>
            <w:shd w:val="clear" w:color="auto" w:fill="E1E3F2"/>
          </w:tcPr>
          <w:p w14:paraId="3A2872D7" w14:textId="77777777" w:rsidR="00210DFB" w:rsidRDefault="001B41FF" w:rsidP="0003420C">
            <w:pPr>
              <w:pStyle w:val="TabletextrowsAgency"/>
            </w:pPr>
            <w:r>
              <w:t>EFPIA</w:t>
            </w:r>
          </w:p>
        </w:tc>
        <w:tc>
          <w:tcPr>
            <w:tcW w:w="2016" w:type="pct"/>
            <w:shd w:val="clear" w:color="auto" w:fill="E1E3F2"/>
          </w:tcPr>
          <w:p w14:paraId="3CCA828A" w14:textId="77777777" w:rsidR="00210DFB" w:rsidRDefault="00210DFB" w:rsidP="0003420C">
            <w:pPr>
              <w:pStyle w:val="TabletextrowsAgency"/>
            </w:pPr>
            <w:r w:rsidRPr="00451FB8">
              <w:rPr>
                <w:b/>
              </w:rPr>
              <w:t>Comment:</w:t>
            </w:r>
            <w:r>
              <w:t xml:space="preserve"> It is unclear what would be included in the search results that are published daily. By way of sample explain how this will differ from the published list of ICSRs entered into </w:t>
            </w:r>
            <w:proofErr w:type="spellStart"/>
            <w:r>
              <w:t>Eudravigilance</w:t>
            </w:r>
            <w:proofErr w:type="spellEnd"/>
            <w:r>
              <w:t xml:space="preserve"> as per lines 238-246. </w:t>
            </w:r>
          </w:p>
          <w:p w14:paraId="3FFEB935" w14:textId="77777777" w:rsidR="00210DFB" w:rsidRPr="00AF3D7F" w:rsidRDefault="00210DFB" w:rsidP="0003420C">
            <w:pPr>
              <w:pStyle w:val="TabletextrowsAgency"/>
              <w:rPr>
                <w:b/>
              </w:rPr>
            </w:pPr>
            <w:r>
              <w:rPr>
                <w:b/>
              </w:rPr>
              <w:t>Proposed change</w:t>
            </w:r>
            <w:r w:rsidRPr="00451FB8">
              <w:rPr>
                <w:b/>
              </w:rPr>
              <w:t xml:space="preserve">: </w:t>
            </w:r>
            <w:r>
              <w:t>Suggest rewording “Search results based on the execution of scripts are made publicly accessible on a daily basis</w:t>
            </w:r>
            <w:r w:rsidRPr="00A9383E">
              <w:rPr>
                <w:b/>
                <w:i/>
              </w:rPr>
              <w:t xml:space="preserve"> </w:t>
            </w:r>
            <w:r w:rsidRPr="00AE06E3">
              <w:rPr>
                <w:rFonts w:eastAsia="SimSun"/>
                <w:color w:val="000000"/>
                <w:lang w:val="en-US" w:eastAsia="en-GB"/>
              </w:rPr>
              <w:t>and will include the above referenced data to allow the MAHs to identify if any ICSRs for their products have been identified from the search”.</w:t>
            </w:r>
            <w:r>
              <w:t xml:space="preserve"> </w:t>
            </w:r>
          </w:p>
        </w:tc>
        <w:tc>
          <w:tcPr>
            <w:tcW w:w="1519" w:type="pct"/>
            <w:shd w:val="clear" w:color="auto" w:fill="E1E3F2"/>
          </w:tcPr>
          <w:p w14:paraId="2A13EE43" w14:textId="77777777" w:rsidR="00210DFB" w:rsidRDefault="00210DFB" w:rsidP="0020534F">
            <w:pPr>
              <w:pStyle w:val="TabletextrowsAgency"/>
            </w:pPr>
            <w:r>
              <w:t>Published Lists:</w:t>
            </w:r>
          </w:p>
          <w:p w14:paraId="59A8492B" w14:textId="77777777" w:rsidR="00210DFB" w:rsidRPr="004E5142" w:rsidRDefault="00210DFB" w:rsidP="0020534F">
            <w:pPr>
              <w:pStyle w:val="TabletextrowsAgency"/>
            </w:pPr>
            <w:r>
              <w:t>Process clarity</w:t>
            </w:r>
          </w:p>
        </w:tc>
      </w:tr>
    </w:tbl>
    <w:p w14:paraId="6B796BCF" w14:textId="77777777" w:rsidR="004E5142" w:rsidRDefault="004E5142">
      <w:r>
        <w:rPr>
          <w:b/>
        </w:rPr>
        <w:br w:type="page"/>
      </w:r>
    </w:p>
    <w:tbl>
      <w:tblPr>
        <w:tblStyle w:val="TablegridAgency"/>
        <w:tblW w:w="5000" w:type="pct"/>
        <w:tblLayout w:type="fixed"/>
        <w:tblLook w:val="01E0" w:firstRow="1" w:lastRow="1" w:firstColumn="1" w:lastColumn="1" w:noHBand="0" w:noVBand="0"/>
      </w:tblPr>
      <w:tblGrid>
        <w:gridCol w:w="1908"/>
        <w:gridCol w:w="2401"/>
        <w:gridCol w:w="5932"/>
        <w:gridCol w:w="4545"/>
      </w:tblGrid>
      <w:tr w:rsidR="004E5142" w:rsidRPr="00B822FC" w14:paraId="11F9BFD7" w14:textId="77777777" w:rsidTr="0098451C">
        <w:trPr>
          <w:cnfStyle w:val="100000000000" w:firstRow="1" w:lastRow="0" w:firstColumn="0" w:lastColumn="0" w:oddVBand="0" w:evenVBand="0" w:oddHBand="0" w:evenHBand="0" w:firstRowFirstColumn="0" w:firstRowLastColumn="0" w:lastRowFirstColumn="0" w:lastRowLastColumn="0"/>
        </w:trPr>
        <w:tc>
          <w:tcPr>
            <w:tcW w:w="645" w:type="pct"/>
          </w:tcPr>
          <w:p w14:paraId="2C29D079" w14:textId="77777777" w:rsidR="004E5142" w:rsidRDefault="004E5142" w:rsidP="0054348E">
            <w:pPr>
              <w:pStyle w:val="TabletextrowsAgency"/>
              <w:rPr>
                <w:i/>
                <w:color w:val="548DD4" w:themeColor="text2" w:themeTint="99"/>
              </w:rPr>
            </w:pPr>
          </w:p>
        </w:tc>
        <w:tc>
          <w:tcPr>
            <w:tcW w:w="812" w:type="pct"/>
          </w:tcPr>
          <w:p w14:paraId="5B2F7790" w14:textId="77777777" w:rsidR="004E5142" w:rsidRDefault="004E5142" w:rsidP="00BC7DF5">
            <w:pPr>
              <w:pStyle w:val="TabletextrowsAgency"/>
              <w:rPr>
                <w:i/>
                <w:color w:val="548DD4" w:themeColor="text2" w:themeTint="99"/>
              </w:rPr>
            </w:pPr>
          </w:p>
        </w:tc>
        <w:tc>
          <w:tcPr>
            <w:tcW w:w="2006" w:type="pct"/>
          </w:tcPr>
          <w:p w14:paraId="470AC5B3" w14:textId="77777777" w:rsidR="004E5142" w:rsidRDefault="004E5142" w:rsidP="00BC7DF5">
            <w:pPr>
              <w:pStyle w:val="Default"/>
            </w:pPr>
          </w:p>
        </w:tc>
        <w:tc>
          <w:tcPr>
            <w:tcW w:w="1537" w:type="pct"/>
          </w:tcPr>
          <w:p w14:paraId="034F3D92" w14:textId="77777777" w:rsidR="004E5142" w:rsidRDefault="004E5142" w:rsidP="0054348E">
            <w:pPr>
              <w:pStyle w:val="TabletextrowsAgency"/>
              <w:rPr>
                <w:color w:val="333399"/>
              </w:rPr>
            </w:pPr>
          </w:p>
        </w:tc>
      </w:tr>
      <w:tr w:rsidR="00642739" w:rsidRPr="00B822FC" w14:paraId="600B7776" w14:textId="77777777" w:rsidTr="00DF21F5">
        <w:tc>
          <w:tcPr>
            <w:tcW w:w="645" w:type="pct"/>
          </w:tcPr>
          <w:p w14:paraId="35415E9F" w14:textId="77777777" w:rsidR="00642739" w:rsidRDefault="00642739" w:rsidP="00DF21F5">
            <w:pPr>
              <w:pStyle w:val="TabletextrowsAgency"/>
            </w:pPr>
            <w:r>
              <w:t>166-167</w:t>
            </w:r>
          </w:p>
        </w:tc>
        <w:tc>
          <w:tcPr>
            <w:tcW w:w="812" w:type="pct"/>
          </w:tcPr>
          <w:p w14:paraId="27D7B721" w14:textId="77777777" w:rsidR="00642739" w:rsidRDefault="001B41FF" w:rsidP="0003420C">
            <w:pPr>
              <w:pStyle w:val="TabletextrowsAgency"/>
            </w:pPr>
            <w:r>
              <w:t>EFPIA</w:t>
            </w:r>
          </w:p>
        </w:tc>
        <w:tc>
          <w:tcPr>
            <w:tcW w:w="2006" w:type="pct"/>
          </w:tcPr>
          <w:p w14:paraId="19993DC3" w14:textId="77777777" w:rsidR="00642739" w:rsidRDefault="00642739" w:rsidP="0003420C">
            <w:pPr>
              <w:pStyle w:val="ListParagraph"/>
              <w:spacing w:line="280" w:lineRule="exact"/>
              <w:ind w:left="0"/>
            </w:pPr>
            <w:r w:rsidRPr="00F24BDF">
              <w:rPr>
                <w:b/>
              </w:rPr>
              <w:t>Comment:</w:t>
            </w:r>
            <w:r>
              <w:rPr>
                <w:b/>
              </w:rPr>
              <w:t xml:space="preserve"> </w:t>
            </w:r>
            <w:r w:rsidRPr="004E5142">
              <w:t xml:space="preserve">The outputs are provided in a tabular, user-friendly format on the </w:t>
            </w:r>
            <w:proofErr w:type="spellStart"/>
            <w:r w:rsidRPr="004E5142">
              <w:t>EudraV</w:t>
            </w:r>
            <w:r>
              <w:t>i</w:t>
            </w:r>
            <w:r w:rsidRPr="004E5142">
              <w:t>gilance</w:t>
            </w:r>
            <w:proofErr w:type="spellEnd"/>
            <w:r w:rsidRPr="004E5142">
              <w:t xml:space="preserve"> restricted website.  Who has access to this website to review these uploads on a daily basis</w:t>
            </w:r>
            <w:r>
              <w:t xml:space="preserve">, noting that many MAHs have Business arrangements that must be addressed i.e. </w:t>
            </w:r>
            <w:r w:rsidR="00445269">
              <w:t>by what process can an</w:t>
            </w:r>
            <w:r>
              <w:t xml:space="preserve"> MAH arrange ICSR access by a Business Partner?</w:t>
            </w:r>
          </w:p>
          <w:p w14:paraId="26E33456" w14:textId="77777777" w:rsidR="00642739" w:rsidRDefault="00642739" w:rsidP="00445269">
            <w:pPr>
              <w:pStyle w:val="Default"/>
              <w:spacing w:line="280" w:lineRule="exact"/>
              <w:rPr>
                <w:color w:val="FF0000"/>
                <w:sz w:val="18"/>
                <w:szCs w:val="18"/>
                <w:u w:val="single"/>
              </w:rPr>
            </w:pPr>
            <w:r w:rsidRPr="00FA41CF">
              <w:rPr>
                <w:b/>
                <w:sz w:val="18"/>
                <w:szCs w:val="18"/>
                <w:u w:val="single"/>
              </w:rPr>
              <w:t>Proposed changes</w:t>
            </w:r>
            <w:r w:rsidRPr="00DF21F5">
              <w:rPr>
                <w:sz w:val="18"/>
                <w:szCs w:val="18"/>
              </w:rPr>
              <w:t xml:space="preserve">: The outputs are provided in a tabular, user-friendly format on the </w:t>
            </w:r>
            <w:proofErr w:type="spellStart"/>
            <w:r w:rsidRPr="00DF21F5">
              <w:rPr>
                <w:sz w:val="18"/>
                <w:szCs w:val="18"/>
              </w:rPr>
              <w:t>EudraVigilance</w:t>
            </w:r>
            <w:proofErr w:type="spellEnd"/>
            <w:r w:rsidRPr="00DF21F5">
              <w:rPr>
                <w:sz w:val="18"/>
                <w:szCs w:val="18"/>
              </w:rPr>
              <w:t xml:space="preserve"> restricted website which is accessible to the MAHs</w:t>
            </w:r>
            <w:r>
              <w:rPr>
                <w:sz w:val="18"/>
                <w:szCs w:val="18"/>
              </w:rPr>
              <w:t xml:space="preserve"> </w:t>
            </w:r>
            <w:r w:rsidRPr="00642739">
              <w:rPr>
                <w:color w:val="FF0000"/>
                <w:sz w:val="18"/>
                <w:szCs w:val="18"/>
                <w:u w:val="single"/>
              </w:rPr>
              <w:t xml:space="preserve">as </w:t>
            </w:r>
            <w:r w:rsidR="00445269">
              <w:rPr>
                <w:color w:val="FF0000"/>
                <w:sz w:val="18"/>
                <w:szCs w:val="18"/>
                <w:u w:val="single"/>
              </w:rPr>
              <w:t>applicable</w:t>
            </w:r>
          </w:p>
          <w:p w14:paraId="755BA08E" w14:textId="77777777" w:rsidR="004E4D38" w:rsidRPr="00944463" w:rsidRDefault="004E4D38" w:rsidP="004E4D38">
            <w:pPr>
              <w:pStyle w:val="Default"/>
              <w:spacing w:line="280" w:lineRule="exact"/>
              <w:rPr>
                <w:sz w:val="18"/>
                <w:szCs w:val="18"/>
              </w:rPr>
            </w:pPr>
            <w:r w:rsidRPr="004E4D38">
              <w:rPr>
                <w:color w:val="auto"/>
                <w:sz w:val="18"/>
                <w:szCs w:val="18"/>
                <w:lang w:val="en-GB" w:eastAsia="zh-CN"/>
              </w:rPr>
              <w:t xml:space="preserve">Please confirm the registration process to have the ability to download ICSRs from </w:t>
            </w:r>
            <w:proofErr w:type="spellStart"/>
            <w:r w:rsidRPr="004E4D38">
              <w:rPr>
                <w:color w:val="auto"/>
                <w:sz w:val="18"/>
                <w:szCs w:val="18"/>
                <w:lang w:val="en-GB" w:eastAsia="zh-CN"/>
              </w:rPr>
              <w:t>Eudravigilance</w:t>
            </w:r>
            <w:proofErr w:type="spellEnd"/>
          </w:p>
        </w:tc>
        <w:tc>
          <w:tcPr>
            <w:tcW w:w="1537" w:type="pct"/>
          </w:tcPr>
          <w:p w14:paraId="572B5534" w14:textId="77777777" w:rsidR="00210DFB" w:rsidRDefault="00210DFB" w:rsidP="00DF21F5">
            <w:pPr>
              <w:pStyle w:val="TabletextrowsAgency"/>
            </w:pPr>
            <w:r>
              <w:t>Access:</w:t>
            </w:r>
          </w:p>
          <w:p w14:paraId="3470A234" w14:textId="77777777" w:rsidR="00642739" w:rsidRDefault="00210DFB" w:rsidP="00DF21F5">
            <w:pPr>
              <w:pStyle w:val="TabletextrowsAgency"/>
              <w:rPr>
                <w:color w:val="333399"/>
              </w:rPr>
            </w:pPr>
            <w:r>
              <w:t xml:space="preserve">Process clarity </w:t>
            </w:r>
            <w:r w:rsidR="00642739">
              <w:rPr>
                <w:rFonts w:eastAsia="SimSun"/>
              </w:rPr>
              <w:t>for</w:t>
            </w:r>
            <w:r w:rsidR="00642739" w:rsidRPr="007575C8">
              <w:rPr>
                <w:rFonts w:eastAsia="SimSun"/>
              </w:rPr>
              <w:t xml:space="preserve"> access to the restricted website.  </w:t>
            </w:r>
          </w:p>
        </w:tc>
      </w:tr>
      <w:tr w:rsidR="00642739" w:rsidRPr="00B822FC" w14:paraId="1C348987" w14:textId="77777777" w:rsidTr="0098451C">
        <w:tc>
          <w:tcPr>
            <w:tcW w:w="645" w:type="pct"/>
          </w:tcPr>
          <w:p w14:paraId="32F2CA27" w14:textId="77777777" w:rsidR="00642739" w:rsidRDefault="00642739" w:rsidP="003D1E4E">
            <w:pPr>
              <w:pStyle w:val="TabletextrowsAgency"/>
            </w:pPr>
            <w:r>
              <w:t>168</w:t>
            </w:r>
          </w:p>
        </w:tc>
        <w:tc>
          <w:tcPr>
            <w:tcW w:w="812" w:type="pct"/>
          </w:tcPr>
          <w:p w14:paraId="2741FD4E" w14:textId="77777777" w:rsidR="00642739" w:rsidRDefault="001B41FF" w:rsidP="003D1E4E">
            <w:pPr>
              <w:pStyle w:val="TabletextrowsAgency"/>
            </w:pPr>
            <w:r>
              <w:t>EFPIA</w:t>
            </w:r>
          </w:p>
        </w:tc>
        <w:tc>
          <w:tcPr>
            <w:tcW w:w="2006" w:type="pct"/>
          </w:tcPr>
          <w:p w14:paraId="299F6996" w14:textId="77777777" w:rsidR="00642739" w:rsidRPr="00944463" w:rsidRDefault="00642739" w:rsidP="00944463">
            <w:pPr>
              <w:pStyle w:val="Default"/>
              <w:adjustRightInd/>
              <w:spacing w:line="280" w:lineRule="exact"/>
              <w:rPr>
                <w:rFonts w:cs="Calibri"/>
                <w:b/>
                <w:iCs/>
                <w:color w:val="auto"/>
                <w:sz w:val="18"/>
                <w:szCs w:val="18"/>
              </w:rPr>
            </w:pPr>
            <w:r w:rsidRPr="00283293">
              <w:rPr>
                <w:rFonts w:cs="Calibri"/>
                <w:b/>
                <w:iCs/>
                <w:color w:val="auto"/>
                <w:sz w:val="18"/>
                <w:szCs w:val="18"/>
              </w:rPr>
              <w:t xml:space="preserve">Comment: </w:t>
            </w:r>
            <w:r w:rsidRPr="00283293">
              <w:rPr>
                <w:rFonts w:cs="Calibri"/>
                <w:bCs/>
                <w:color w:val="auto"/>
                <w:sz w:val="18"/>
                <w:szCs w:val="18"/>
              </w:rPr>
              <w:t xml:space="preserve">Will </w:t>
            </w:r>
            <w:r w:rsidRPr="00283293">
              <w:rPr>
                <w:rFonts w:cs="Calibri"/>
                <w:i/>
                <w:iCs/>
                <w:color w:val="auto"/>
                <w:sz w:val="18"/>
                <w:szCs w:val="18"/>
              </w:rPr>
              <w:t>“records of literature searches”</w:t>
            </w:r>
            <w:r>
              <w:rPr>
                <w:rFonts w:cs="Calibri"/>
                <w:i/>
                <w:iCs/>
                <w:color w:val="auto"/>
                <w:sz w:val="18"/>
                <w:szCs w:val="18"/>
              </w:rPr>
              <w:t xml:space="preserve"> </w:t>
            </w:r>
            <w:r w:rsidRPr="00283293">
              <w:rPr>
                <w:rFonts w:cs="Calibri"/>
                <w:bCs/>
                <w:color w:val="auto"/>
                <w:sz w:val="18"/>
                <w:szCs w:val="18"/>
              </w:rPr>
              <w:t>be accessible to MAH?</w:t>
            </w:r>
          </w:p>
        </w:tc>
        <w:tc>
          <w:tcPr>
            <w:tcW w:w="1537" w:type="pct"/>
          </w:tcPr>
          <w:p w14:paraId="63A26792" w14:textId="77777777" w:rsidR="00642739" w:rsidRDefault="00210DFB" w:rsidP="003D1E4E">
            <w:pPr>
              <w:pStyle w:val="TabletextrowsAgency"/>
            </w:pPr>
            <w:r>
              <w:t>Access:</w:t>
            </w:r>
          </w:p>
          <w:p w14:paraId="686C4233" w14:textId="77777777" w:rsidR="00210DFB" w:rsidRDefault="00210DFB" w:rsidP="00210DFB">
            <w:pPr>
              <w:pStyle w:val="TabletextrowsAgency"/>
              <w:rPr>
                <w:color w:val="333399"/>
              </w:rPr>
            </w:pPr>
            <w:r>
              <w:t xml:space="preserve">Process clarity </w:t>
            </w:r>
          </w:p>
        </w:tc>
      </w:tr>
      <w:tr w:rsidR="001B41FF" w:rsidRPr="00B822FC" w14:paraId="1ADFB8E2" w14:textId="77777777" w:rsidTr="0098451C">
        <w:tc>
          <w:tcPr>
            <w:tcW w:w="645" w:type="pct"/>
          </w:tcPr>
          <w:p w14:paraId="268CC235" w14:textId="77777777" w:rsidR="001B41FF" w:rsidRPr="004E5142" w:rsidRDefault="001B41FF" w:rsidP="007A7288">
            <w:pPr>
              <w:pStyle w:val="TabletextrowsAgency"/>
            </w:pPr>
            <w:r>
              <w:t>177-246</w:t>
            </w:r>
          </w:p>
        </w:tc>
        <w:tc>
          <w:tcPr>
            <w:tcW w:w="812" w:type="pct"/>
          </w:tcPr>
          <w:p w14:paraId="01032DA5" w14:textId="77777777" w:rsidR="001B41FF" w:rsidRPr="004E5142" w:rsidRDefault="001B41FF" w:rsidP="007A7288">
            <w:pPr>
              <w:pStyle w:val="TabletextrowsAgency"/>
            </w:pPr>
            <w:r>
              <w:t>EFPIA</w:t>
            </w:r>
          </w:p>
        </w:tc>
        <w:tc>
          <w:tcPr>
            <w:tcW w:w="2006" w:type="pct"/>
          </w:tcPr>
          <w:p w14:paraId="71FAC3DE" w14:textId="77777777" w:rsidR="001B41FF" w:rsidRPr="00583486" w:rsidRDefault="001B41FF" w:rsidP="007A7288">
            <w:pPr>
              <w:spacing w:line="280" w:lineRule="exact"/>
              <w:rPr>
                <w:bCs/>
              </w:rPr>
            </w:pPr>
            <w:r w:rsidRPr="004E4D38">
              <w:rPr>
                <w:bCs/>
              </w:rPr>
              <w:t xml:space="preserve">Will the EMA be applying any PII data for the ICSR’s downloaded from </w:t>
            </w:r>
            <w:proofErr w:type="spellStart"/>
            <w:r w:rsidRPr="004E4D38">
              <w:rPr>
                <w:bCs/>
              </w:rPr>
              <w:t>Eudravigilance</w:t>
            </w:r>
            <w:proofErr w:type="spellEnd"/>
            <w:r w:rsidRPr="004E4D38">
              <w:rPr>
                <w:bCs/>
              </w:rPr>
              <w:t xml:space="preserve"> that may inhibit duplicate checking by the MAH?  If yes, can the EMA provide the parameters of PII date exclusion?</w:t>
            </w:r>
          </w:p>
        </w:tc>
        <w:tc>
          <w:tcPr>
            <w:tcW w:w="1537" w:type="pct"/>
          </w:tcPr>
          <w:p w14:paraId="3C390CF1" w14:textId="77777777" w:rsidR="001B41FF" w:rsidRDefault="001B41FF" w:rsidP="007A7288">
            <w:pPr>
              <w:pStyle w:val="TabletextrowsAgency"/>
            </w:pPr>
            <w:r>
              <w:t>Data Privacy:</w:t>
            </w:r>
          </w:p>
          <w:p w14:paraId="73B25124" w14:textId="77777777" w:rsidR="001B41FF" w:rsidRDefault="001B41FF" w:rsidP="007A7288">
            <w:pPr>
              <w:pStyle w:val="TabletextrowsAgency"/>
              <w:rPr>
                <w:color w:val="333399"/>
              </w:rPr>
            </w:pPr>
            <w:r>
              <w:t xml:space="preserve">Process clarity </w:t>
            </w:r>
          </w:p>
        </w:tc>
      </w:tr>
      <w:tr w:rsidR="00642739" w:rsidRPr="00B822FC" w14:paraId="69BAF8A8" w14:textId="77777777" w:rsidTr="0098451C">
        <w:tc>
          <w:tcPr>
            <w:tcW w:w="645" w:type="pct"/>
          </w:tcPr>
          <w:p w14:paraId="13C471AC" w14:textId="77777777" w:rsidR="00642739" w:rsidRDefault="00642739" w:rsidP="003D1E4E">
            <w:pPr>
              <w:pStyle w:val="TabletextrowsAgency"/>
            </w:pPr>
            <w:r>
              <w:t>182-185</w:t>
            </w:r>
          </w:p>
        </w:tc>
        <w:tc>
          <w:tcPr>
            <w:tcW w:w="812" w:type="pct"/>
          </w:tcPr>
          <w:p w14:paraId="72499678" w14:textId="77777777" w:rsidR="00642739" w:rsidRDefault="001B41FF" w:rsidP="003D1E4E">
            <w:pPr>
              <w:pStyle w:val="TabletextrowsAgency"/>
            </w:pPr>
            <w:r>
              <w:t>EFPIA</w:t>
            </w:r>
          </w:p>
        </w:tc>
        <w:tc>
          <w:tcPr>
            <w:tcW w:w="2006" w:type="pct"/>
          </w:tcPr>
          <w:p w14:paraId="0C1E6246" w14:textId="77777777" w:rsidR="00642739" w:rsidRPr="0003420C" w:rsidRDefault="00642739" w:rsidP="00451FB8">
            <w:pPr>
              <w:pStyle w:val="TabletextrowsAgency"/>
              <w:rPr>
                <w:b/>
              </w:rPr>
            </w:pPr>
            <w:r w:rsidRPr="00451FB8">
              <w:rPr>
                <w:b/>
              </w:rPr>
              <w:t>Comment:</w:t>
            </w:r>
            <w:r w:rsidR="0003420C">
              <w:rPr>
                <w:b/>
              </w:rPr>
              <w:t xml:space="preserve"> </w:t>
            </w:r>
            <w:r w:rsidRPr="00A34583">
              <w:t xml:space="preserve">This suggests the Agencies day zero should be used for the MAH </w:t>
            </w:r>
            <w:r>
              <w:t>if</w:t>
            </w:r>
            <w:r w:rsidRPr="00A34583">
              <w:t xml:space="preserve"> the ICSRs are re-transmitted to outside EEA agencies.</w:t>
            </w:r>
            <w:r>
              <w:t xml:space="preserve"> However per ICH E2B “</w:t>
            </w:r>
            <w:r w:rsidRPr="00A34583">
              <w:t xml:space="preserve">When retransmitting information received from another regulatory agency or another company or any other secondary source, A.1.6 is the date the </w:t>
            </w:r>
            <w:proofErr w:type="spellStart"/>
            <w:r w:rsidRPr="00A34583">
              <w:t>retransmitter</w:t>
            </w:r>
            <w:proofErr w:type="spellEnd"/>
            <w:r w:rsidRPr="00A34583">
              <w:t xml:space="preserve"> first received the information.</w:t>
            </w:r>
            <w:r>
              <w:t>”</w:t>
            </w:r>
          </w:p>
          <w:p w14:paraId="04ACC178" w14:textId="77777777" w:rsidR="00210DFB" w:rsidRPr="00654642" w:rsidRDefault="0003420C" w:rsidP="00847302">
            <w:pPr>
              <w:pStyle w:val="TabletextrowsAgency"/>
              <w:rPr>
                <w:rFonts w:eastAsia="SimSun"/>
                <w:color w:val="000000"/>
                <w:lang w:val="en-US" w:eastAsia="en-GB"/>
              </w:rPr>
            </w:pPr>
            <w:r>
              <w:rPr>
                <w:b/>
              </w:rPr>
              <w:t>Proposed change</w:t>
            </w:r>
            <w:r w:rsidR="00642739" w:rsidRPr="00451FB8">
              <w:rPr>
                <w:b/>
              </w:rPr>
              <w:t>:</w:t>
            </w:r>
            <w:r w:rsidR="00642739">
              <w:t xml:space="preserve"> Suggest insertion at end of row 189 “</w:t>
            </w:r>
            <w:r w:rsidR="00642739" w:rsidRPr="00AE06E3">
              <w:rPr>
                <w:rFonts w:eastAsia="SimSun"/>
                <w:color w:val="000000"/>
                <w:lang w:val="en-US" w:eastAsia="en-GB"/>
              </w:rPr>
              <w:t>In case of retransmission outside of Europe, MAH should use the date they first received the information as day zero.”</w:t>
            </w:r>
          </w:p>
        </w:tc>
        <w:tc>
          <w:tcPr>
            <w:tcW w:w="1537" w:type="pct"/>
          </w:tcPr>
          <w:p w14:paraId="7286C83F" w14:textId="77777777" w:rsidR="00642739" w:rsidRDefault="00210DFB" w:rsidP="003D1E4E">
            <w:pPr>
              <w:pStyle w:val="TabletextrowsAgency"/>
            </w:pPr>
            <w:r>
              <w:t>Clock Start:</w:t>
            </w:r>
          </w:p>
          <w:p w14:paraId="37BD06CF" w14:textId="77777777" w:rsidR="00210DFB" w:rsidRDefault="00210DFB" w:rsidP="003D1E4E">
            <w:pPr>
              <w:pStyle w:val="TabletextrowsAgency"/>
              <w:rPr>
                <w:color w:val="333399"/>
              </w:rPr>
            </w:pPr>
            <w:r>
              <w:t>Process clarity / Compliance</w:t>
            </w:r>
          </w:p>
        </w:tc>
      </w:tr>
      <w:tr w:rsidR="000C361E" w:rsidRPr="00B822FC" w14:paraId="71D54435" w14:textId="77777777" w:rsidTr="0098451C">
        <w:tc>
          <w:tcPr>
            <w:tcW w:w="645" w:type="pct"/>
          </w:tcPr>
          <w:p w14:paraId="44E22D7B" w14:textId="77777777" w:rsidR="000C361E" w:rsidRPr="004E5142" w:rsidRDefault="000C361E" w:rsidP="004F54C8">
            <w:pPr>
              <w:pStyle w:val="TabletextrowsAgency"/>
            </w:pPr>
            <w:r>
              <w:t>190-192</w:t>
            </w:r>
          </w:p>
        </w:tc>
        <w:tc>
          <w:tcPr>
            <w:tcW w:w="812" w:type="pct"/>
          </w:tcPr>
          <w:p w14:paraId="33F7A977" w14:textId="77777777" w:rsidR="000C361E" w:rsidRPr="004E5142" w:rsidRDefault="001B41FF" w:rsidP="004F54C8">
            <w:pPr>
              <w:pStyle w:val="TabletextrowsAgency"/>
            </w:pPr>
            <w:r>
              <w:t>EFPIA</w:t>
            </w:r>
          </w:p>
        </w:tc>
        <w:tc>
          <w:tcPr>
            <w:tcW w:w="2006" w:type="pct"/>
          </w:tcPr>
          <w:p w14:paraId="3F2D15A5" w14:textId="77777777" w:rsidR="000C361E" w:rsidRPr="0003420C" w:rsidRDefault="000C361E" w:rsidP="004F54C8">
            <w:pPr>
              <w:pStyle w:val="TabletextrowsAgency"/>
            </w:pPr>
            <w:r w:rsidRPr="00451FB8">
              <w:rPr>
                <w:b/>
              </w:rPr>
              <w:t xml:space="preserve">Comment: </w:t>
            </w:r>
            <w:r>
              <w:t>Please clarify that for cases that include serious and non-serious reactions, they would all be entered into the same ICSR and be made available to the MAH. i.e. avoiding partial inclusion from a single literature article</w:t>
            </w:r>
          </w:p>
        </w:tc>
        <w:tc>
          <w:tcPr>
            <w:tcW w:w="1537" w:type="pct"/>
          </w:tcPr>
          <w:p w14:paraId="3FA4257F" w14:textId="77777777" w:rsidR="000C361E" w:rsidRDefault="00210DFB" w:rsidP="003D1E4E">
            <w:pPr>
              <w:pStyle w:val="TabletextrowsAgency"/>
            </w:pPr>
            <w:r>
              <w:t>Non-Serious:</w:t>
            </w:r>
          </w:p>
          <w:p w14:paraId="173F48B7" w14:textId="77777777" w:rsidR="00210DFB" w:rsidRDefault="00210DFB" w:rsidP="003D1E4E">
            <w:pPr>
              <w:pStyle w:val="TabletextrowsAgency"/>
              <w:rPr>
                <w:color w:val="333399"/>
              </w:rPr>
            </w:pPr>
            <w:r>
              <w:t>Process clarity / Compliance</w:t>
            </w:r>
          </w:p>
        </w:tc>
      </w:tr>
      <w:tr w:rsidR="000C361E" w:rsidRPr="00B822FC" w14:paraId="1013E95A" w14:textId="77777777" w:rsidTr="0098451C">
        <w:tc>
          <w:tcPr>
            <w:tcW w:w="645" w:type="pct"/>
          </w:tcPr>
          <w:p w14:paraId="1DA69A25" w14:textId="77777777" w:rsidR="000C361E" w:rsidRDefault="000C361E" w:rsidP="003D1E4E">
            <w:pPr>
              <w:pStyle w:val="TabletextrowsAgency"/>
            </w:pPr>
            <w:r>
              <w:lastRenderedPageBreak/>
              <w:t>192</w:t>
            </w:r>
          </w:p>
        </w:tc>
        <w:tc>
          <w:tcPr>
            <w:tcW w:w="812" w:type="pct"/>
          </w:tcPr>
          <w:p w14:paraId="1B743EB5" w14:textId="77777777" w:rsidR="000C361E" w:rsidRDefault="001B41FF" w:rsidP="003D1E4E">
            <w:pPr>
              <w:pStyle w:val="TabletextrowsAgency"/>
            </w:pPr>
            <w:r>
              <w:t>EFPIA</w:t>
            </w:r>
          </w:p>
        </w:tc>
        <w:tc>
          <w:tcPr>
            <w:tcW w:w="2006" w:type="pct"/>
          </w:tcPr>
          <w:p w14:paraId="5596613F" w14:textId="77777777" w:rsidR="000C361E" w:rsidRDefault="000C361E" w:rsidP="003078AD">
            <w:pPr>
              <w:pStyle w:val="TabletextrowsAgency"/>
              <w:rPr>
                <w:lang w:val="en-US"/>
              </w:rPr>
            </w:pPr>
            <w:r w:rsidRPr="00BF5A07">
              <w:rPr>
                <w:b/>
                <w:lang w:val="en-US"/>
              </w:rPr>
              <w:t>Comment:</w:t>
            </w:r>
            <w:r>
              <w:rPr>
                <w:lang w:val="en-US"/>
              </w:rPr>
              <w:t xml:space="preserve"> It would be helpful to confirm that all serious or special situation cases (see lines 107-109) are recorded even if they occur outside the EEA. </w:t>
            </w:r>
          </w:p>
          <w:p w14:paraId="051D9046" w14:textId="77777777" w:rsidR="000C361E" w:rsidRPr="00847302" w:rsidRDefault="000C361E" w:rsidP="003078AD">
            <w:pPr>
              <w:pStyle w:val="TabletextrowsAgency"/>
              <w:rPr>
                <w:b/>
              </w:rPr>
            </w:pPr>
            <w:r w:rsidRPr="00451FB8">
              <w:rPr>
                <w:b/>
              </w:rPr>
              <w:t>P</w:t>
            </w:r>
            <w:r>
              <w:rPr>
                <w:b/>
              </w:rPr>
              <w:t>roposed change</w:t>
            </w:r>
            <w:r w:rsidRPr="00451FB8">
              <w:rPr>
                <w:b/>
              </w:rPr>
              <w:t>:</w:t>
            </w:r>
            <w:r>
              <w:t xml:space="preserve"> </w:t>
            </w:r>
            <w:r w:rsidRPr="004142C4">
              <w:rPr>
                <w:lang w:val="en-US"/>
              </w:rPr>
              <w:t xml:space="preserve">However, all other new information as described in chapter 2.2 is entered in </w:t>
            </w:r>
            <w:proofErr w:type="spellStart"/>
            <w:r w:rsidRPr="004142C4">
              <w:rPr>
                <w:lang w:val="en-US"/>
              </w:rPr>
              <w:t>Eudravigilance</w:t>
            </w:r>
            <w:proofErr w:type="spellEnd"/>
            <w:r w:rsidRPr="004142C4">
              <w:rPr>
                <w:lang w:val="en-US"/>
              </w:rPr>
              <w:t xml:space="preserve"> even if from outside the EEA.”</w:t>
            </w:r>
          </w:p>
        </w:tc>
        <w:tc>
          <w:tcPr>
            <w:tcW w:w="1537" w:type="pct"/>
          </w:tcPr>
          <w:p w14:paraId="5A346D7F" w14:textId="77777777" w:rsidR="000C361E" w:rsidRDefault="00210DFB" w:rsidP="003D1E4E">
            <w:pPr>
              <w:pStyle w:val="TabletextrowsAgency"/>
            </w:pPr>
            <w:r>
              <w:t>Outside EEA:</w:t>
            </w:r>
          </w:p>
          <w:p w14:paraId="28599773" w14:textId="77777777" w:rsidR="00210DFB" w:rsidRDefault="00210DFB" w:rsidP="003D1E4E">
            <w:pPr>
              <w:pStyle w:val="TabletextrowsAgency"/>
              <w:rPr>
                <w:color w:val="333399"/>
              </w:rPr>
            </w:pPr>
            <w:r>
              <w:t>Process clarity</w:t>
            </w:r>
          </w:p>
        </w:tc>
      </w:tr>
      <w:tr w:rsidR="002D2520" w:rsidRPr="00B822FC" w14:paraId="3A3854F4" w14:textId="77777777" w:rsidTr="0098451C">
        <w:tc>
          <w:tcPr>
            <w:tcW w:w="645" w:type="pct"/>
          </w:tcPr>
          <w:p w14:paraId="66EBDB9D" w14:textId="77777777" w:rsidR="002D2520" w:rsidRDefault="002D2520" w:rsidP="003D1E4E">
            <w:pPr>
              <w:pStyle w:val="TabletextrowsAgency"/>
            </w:pPr>
            <w:r>
              <w:t>194</w:t>
            </w:r>
          </w:p>
        </w:tc>
        <w:tc>
          <w:tcPr>
            <w:tcW w:w="812" w:type="pct"/>
          </w:tcPr>
          <w:p w14:paraId="0154FF8A" w14:textId="77777777" w:rsidR="002D2520" w:rsidRDefault="002D2520" w:rsidP="003D1E4E">
            <w:pPr>
              <w:pStyle w:val="TabletextrowsAgency"/>
            </w:pPr>
            <w:r>
              <w:t>EFPIA</w:t>
            </w:r>
          </w:p>
        </w:tc>
        <w:tc>
          <w:tcPr>
            <w:tcW w:w="2006" w:type="pct"/>
          </w:tcPr>
          <w:p w14:paraId="34DBFB05" w14:textId="77777777" w:rsidR="002D2520" w:rsidRPr="00257CEA" w:rsidRDefault="00257CEA" w:rsidP="00257CEA">
            <w:r w:rsidRPr="00BF5A07">
              <w:rPr>
                <w:b/>
                <w:lang w:val="en-US"/>
              </w:rPr>
              <w:t>Comment:</w:t>
            </w:r>
            <w:r>
              <w:rPr>
                <w:lang w:val="en-US"/>
              </w:rPr>
              <w:t xml:space="preserve">  </w:t>
            </w:r>
            <w:r w:rsidRPr="00257CEA">
              <w:rPr>
                <w:rFonts w:eastAsiaTheme="minorHAnsi"/>
                <w:sz w:val="20"/>
                <w:szCs w:val="20"/>
              </w:rPr>
              <w:t>More clarity should be provided on the quality standards of data capture i.e. the intention of the author should primarily be followed with regards to both the adverse reaction terms to be captured and also with regards to a suspected causal relationship with the products in question. Unless this happens, literature articles may trigger the processing of many incidental events. Also events may be captured for which the author did not suspect/ mention any causal relationship with the product in question in their article</w:t>
            </w:r>
          </w:p>
        </w:tc>
        <w:tc>
          <w:tcPr>
            <w:tcW w:w="1537" w:type="pct"/>
          </w:tcPr>
          <w:p w14:paraId="7639B6E5" w14:textId="77777777" w:rsidR="002D2520" w:rsidRDefault="002D2520" w:rsidP="003D1E4E">
            <w:pPr>
              <w:pStyle w:val="TabletextrowsAgency"/>
            </w:pPr>
            <w:r>
              <w:t>Incidental Events:</w:t>
            </w:r>
          </w:p>
          <w:p w14:paraId="1F2A70DB" w14:textId="77777777" w:rsidR="002D2520" w:rsidRDefault="002D2520" w:rsidP="003D1E4E">
            <w:pPr>
              <w:pStyle w:val="TabletextrowsAgency"/>
            </w:pPr>
            <w:r>
              <w:t>Process clarity</w:t>
            </w:r>
          </w:p>
        </w:tc>
      </w:tr>
      <w:tr w:rsidR="000C361E" w:rsidRPr="00B822FC" w14:paraId="484C1965" w14:textId="77777777" w:rsidTr="00DF21F5">
        <w:tc>
          <w:tcPr>
            <w:tcW w:w="645" w:type="pct"/>
          </w:tcPr>
          <w:p w14:paraId="1E1FF4DA" w14:textId="77777777" w:rsidR="000C361E" w:rsidRPr="004E5142" w:rsidRDefault="000C361E" w:rsidP="00DF21F5">
            <w:pPr>
              <w:pStyle w:val="TabletextrowsAgency"/>
            </w:pPr>
            <w:r>
              <w:t>195</w:t>
            </w:r>
          </w:p>
          <w:p w14:paraId="4B010B5D" w14:textId="77777777" w:rsidR="000C361E" w:rsidRPr="004E5142" w:rsidRDefault="000C361E" w:rsidP="00DF21F5">
            <w:pPr>
              <w:pStyle w:val="TabletextrowsAgency"/>
            </w:pPr>
          </w:p>
          <w:p w14:paraId="021DC329" w14:textId="77777777" w:rsidR="000C361E" w:rsidRPr="004E5142" w:rsidRDefault="000C361E" w:rsidP="00DF21F5">
            <w:pPr>
              <w:pStyle w:val="TabletextrowsAgency"/>
            </w:pPr>
          </w:p>
        </w:tc>
        <w:tc>
          <w:tcPr>
            <w:tcW w:w="812" w:type="pct"/>
          </w:tcPr>
          <w:p w14:paraId="4AD49D3D" w14:textId="77777777" w:rsidR="000C361E" w:rsidRPr="004E5142" w:rsidRDefault="001B41FF" w:rsidP="00DF21F5">
            <w:pPr>
              <w:pStyle w:val="TabletextrowsAgency"/>
            </w:pPr>
            <w:r>
              <w:t>EFPIA</w:t>
            </w:r>
          </w:p>
        </w:tc>
        <w:tc>
          <w:tcPr>
            <w:tcW w:w="2006" w:type="pct"/>
          </w:tcPr>
          <w:p w14:paraId="59A1007B" w14:textId="77777777" w:rsidR="000C361E" w:rsidRPr="003078AD" w:rsidRDefault="000C361E" w:rsidP="00DF21F5">
            <w:pPr>
              <w:spacing w:line="280" w:lineRule="exact"/>
            </w:pPr>
            <w:r w:rsidRPr="00F24BDF">
              <w:rPr>
                <w:b/>
              </w:rPr>
              <w:t>Comment:</w:t>
            </w:r>
            <w:r w:rsidRPr="00C862F9">
              <w:t xml:space="preserve"> </w:t>
            </w:r>
            <w:r>
              <w:t>A</w:t>
            </w:r>
            <w:r w:rsidRPr="00C862F9">
              <w:t>ccording to GVP VI.C, the following articles can be excluded from reporting of ICSRs by MAHs:</w:t>
            </w:r>
            <w:r w:rsidRPr="00C862F9">
              <w:br/>
              <w:t xml:space="preserve">- literature </w:t>
            </w:r>
            <w:proofErr w:type="gramStart"/>
            <w:r w:rsidRPr="00C862F9">
              <w:t>ICSRs which are based on an analysis from a competent authority</w:t>
            </w:r>
            <w:proofErr w:type="gramEnd"/>
            <w:r w:rsidRPr="00C862F9">
              <w:t xml:space="preserve"> database within the EU. </w:t>
            </w:r>
            <w:r w:rsidRPr="00C862F9">
              <w:br/>
              <w:t xml:space="preserve">- literature articles, which present data analyses from publicly available databases or, which summarise results from post-authorisation studies </w:t>
            </w:r>
            <w:r w:rsidRPr="00C862F9">
              <w:br/>
              <w:t>However, MAHs need to collect these articles for sake of signal detection.  Will they be reported by the Agency to the MAHs?</w:t>
            </w:r>
          </w:p>
        </w:tc>
        <w:tc>
          <w:tcPr>
            <w:tcW w:w="1537" w:type="pct"/>
          </w:tcPr>
          <w:p w14:paraId="109C5EEE" w14:textId="77777777" w:rsidR="000C361E" w:rsidRDefault="00210DFB" w:rsidP="00DF21F5">
            <w:pPr>
              <w:pStyle w:val="TabletextrowsAgency"/>
            </w:pPr>
            <w:r>
              <w:t>Exclusions:</w:t>
            </w:r>
          </w:p>
          <w:p w14:paraId="59F287AF" w14:textId="77777777" w:rsidR="00210DFB" w:rsidRPr="00B152E5" w:rsidRDefault="00210DFB" w:rsidP="00DF21F5">
            <w:pPr>
              <w:pStyle w:val="TabletextrowsAgency"/>
              <w:rPr>
                <w:color w:val="333399"/>
              </w:rPr>
            </w:pPr>
            <w:r>
              <w:t>Avoid duplication of effort / Compliance</w:t>
            </w:r>
          </w:p>
        </w:tc>
      </w:tr>
      <w:tr w:rsidR="000C361E" w:rsidRPr="00B822FC" w14:paraId="4F7A0020" w14:textId="77777777" w:rsidTr="0098451C">
        <w:tc>
          <w:tcPr>
            <w:tcW w:w="645" w:type="pct"/>
          </w:tcPr>
          <w:p w14:paraId="2A7702D9" w14:textId="77777777" w:rsidR="000C361E" w:rsidRPr="004E5142" w:rsidRDefault="000C361E" w:rsidP="00FA41CF">
            <w:pPr>
              <w:pStyle w:val="TabletextrowsAgency"/>
            </w:pPr>
            <w:r w:rsidRPr="004E5142">
              <w:t>203</w:t>
            </w:r>
            <w:r>
              <w:t xml:space="preserve"> and </w:t>
            </w:r>
            <w:r w:rsidRPr="004E5142">
              <w:t>216</w:t>
            </w:r>
          </w:p>
        </w:tc>
        <w:tc>
          <w:tcPr>
            <w:tcW w:w="812" w:type="pct"/>
          </w:tcPr>
          <w:p w14:paraId="32B4F96D" w14:textId="77777777" w:rsidR="000C361E" w:rsidRPr="004E5142" w:rsidRDefault="001B41FF" w:rsidP="003D1E4E">
            <w:pPr>
              <w:pStyle w:val="TabletextrowsAgency"/>
            </w:pPr>
            <w:r>
              <w:t>EFPIA</w:t>
            </w:r>
          </w:p>
        </w:tc>
        <w:tc>
          <w:tcPr>
            <w:tcW w:w="2006" w:type="pct"/>
          </w:tcPr>
          <w:p w14:paraId="63D1A615" w14:textId="77777777" w:rsidR="000C361E" w:rsidRPr="00654642" w:rsidRDefault="000C361E" w:rsidP="003D1E4E">
            <w:pPr>
              <w:spacing w:line="280" w:lineRule="exact"/>
              <w:rPr>
                <w:rFonts w:eastAsia="Times New Roman"/>
                <w:i/>
              </w:rPr>
            </w:pPr>
            <w:r w:rsidRPr="00F24BDF">
              <w:rPr>
                <w:b/>
              </w:rPr>
              <w:t>Comment:</w:t>
            </w:r>
            <w:r>
              <w:rPr>
                <w:b/>
              </w:rPr>
              <w:t xml:space="preserve">  </w:t>
            </w:r>
            <w:proofErr w:type="gramStart"/>
            <w:r w:rsidRPr="00AE06E3">
              <w:t xml:space="preserve">EMA criteria for follow-up </w:t>
            </w:r>
            <w:r w:rsidR="000A1701">
              <w:t>appears</w:t>
            </w:r>
            <w:proofErr w:type="gramEnd"/>
            <w:r w:rsidR="000A1701">
              <w:t xml:space="preserve"> to be less</w:t>
            </w:r>
            <w:r w:rsidRPr="00AE06E3">
              <w:t xml:space="preserve"> stringent </w:t>
            </w:r>
            <w:r w:rsidR="000A1701">
              <w:t>than that expected of</w:t>
            </w:r>
            <w:r w:rsidRPr="00AE06E3">
              <w:t xml:space="preserve"> MAH, e.g. </w:t>
            </w:r>
            <w:r w:rsidR="00654642">
              <w:t>where</w:t>
            </w:r>
            <w:r w:rsidRPr="00AE06E3">
              <w:t xml:space="preserve"> MAH has a targeted questionnaire</w:t>
            </w:r>
            <w:r w:rsidR="00654642">
              <w:t xml:space="preserve"> (</w:t>
            </w:r>
            <w:r w:rsidR="000A1701">
              <w:t>serious and</w:t>
            </w:r>
            <w:r w:rsidR="00654642">
              <w:t xml:space="preserve"> non-serious)</w:t>
            </w:r>
            <w:r w:rsidR="00654642" w:rsidRPr="008562C7">
              <w:rPr>
                <w:color w:val="FF0000"/>
              </w:rPr>
              <w:t xml:space="preserve"> </w:t>
            </w:r>
            <w:r w:rsidR="00654642">
              <w:t>in</w:t>
            </w:r>
            <w:r w:rsidRPr="00AE06E3">
              <w:t xml:space="preserve"> an RMP</w:t>
            </w:r>
            <w:r w:rsidR="00654642" w:rsidRPr="00AE06E3">
              <w:t>?</w:t>
            </w:r>
            <w:r w:rsidRPr="00AE06E3">
              <w:t xml:space="preserve"> </w:t>
            </w:r>
          </w:p>
          <w:p w14:paraId="7CDD6B83" w14:textId="77777777" w:rsidR="000C361E" w:rsidRPr="00AE06E3" w:rsidRDefault="000C361E" w:rsidP="00982C7A">
            <w:pPr>
              <w:spacing w:line="280" w:lineRule="exact"/>
              <w:rPr>
                <w:b/>
              </w:rPr>
            </w:pPr>
            <w:r w:rsidRPr="00451FB8">
              <w:rPr>
                <w:b/>
              </w:rPr>
              <w:t>P</w:t>
            </w:r>
            <w:r>
              <w:rPr>
                <w:b/>
              </w:rPr>
              <w:t>roposed change</w:t>
            </w:r>
            <w:r w:rsidRPr="00451FB8">
              <w:rPr>
                <w:b/>
              </w:rPr>
              <w:t>:</w:t>
            </w:r>
            <w:r>
              <w:rPr>
                <w:b/>
              </w:rPr>
              <w:t xml:space="preserve"> </w:t>
            </w:r>
            <w:r w:rsidR="00982C7A">
              <w:t>S</w:t>
            </w:r>
            <w:r>
              <w:t xml:space="preserve">uggest </w:t>
            </w:r>
            <w:r w:rsidRPr="00924C7B">
              <w:t>the risk-based approach be further clarified/</w:t>
            </w:r>
            <w:r w:rsidR="00982C7A">
              <w:t>documented</w:t>
            </w:r>
            <w:r w:rsidRPr="00924C7B">
              <w:t xml:space="preserve"> </w:t>
            </w:r>
            <w:r w:rsidR="00982C7A">
              <w:t xml:space="preserve">to avoid </w:t>
            </w:r>
            <w:r w:rsidR="00982C7A" w:rsidRPr="00AE06E3">
              <w:t>overlap/potential gaps between EMA and MAH follow-up requirements</w:t>
            </w:r>
          </w:p>
        </w:tc>
        <w:tc>
          <w:tcPr>
            <w:tcW w:w="1537" w:type="pct"/>
          </w:tcPr>
          <w:p w14:paraId="55727268" w14:textId="77777777" w:rsidR="00982C7A" w:rsidRDefault="00982C7A" w:rsidP="003D1E4E">
            <w:pPr>
              <w:pStyle w:val="TabletextrowsAgency"/>
            </w:pPr>
            <w:r>
              <w:t>Follow-up:</w:t>
            </w:r>
          </w:p>
          <w:p w14:paraId="229BD653" w14:textId="77777777" w:rsidR="000C361E" w:rsidRDefault="00982C7A" w:rsidP="00982C7A">
            <w:pPr>
              <w:pStyle w:val="TabletextrowsAgency"/>
              <w:rPr>
                <w:color w:val="333399"/>
              </w:rPr>
            </w:pPr>
            <w:r>
              <w:t>Process clarity / Compliance</w:t>
            </w:r>
          </w:p>
        </w:tc>
      </w:tr>
      <w:tr w:rsidR="000C361E" w:rsidRPr="00B822FC" w14:paraId="6AFC4A50" w14:textId="77777777" w:rsidTr="00DF21F5">
        <w:tc>
          <w:tcPr>
            <w:tcW w:w="645" w:type="pct"/>
          </w:tcPr>
          <w:p w14:paraId="16639A87" w14:textId="77777777" w:rsidR="000C361E" w:rsidRDefault="000C361E" w:rsidP="00DF21F5">
            <w:pPr>
              <w:pStyle w:val="TabletextrowsAgency"/>
            </w:pPr>
            <w:r>
              <w:lastRenderedPageBreak/>
              <w:t>Line 209 -212</w:t>
            </w:r>
          </w:p>
        </w:tc>
        <w:tc>
          <w:tcPr>
            <w:tcW w:w="812" w:type="pct"/>
          </w:tcPr>
          <w:p w14:paraId="062BEACA" w14:textId="77777777" w:rsidR="000C361E" w:rsidRDefault="001B41FF" w:rsidP="00DF21F5">
            <w:pPr>
              <w:pStyle w:val="TabletextrowsAgency"/>
            </w:pPr>
            <w:r>
              <w:t>EFPIA</w:t>
            </w:r>
          </w:p>
        </w:tc>
        <w:tc>
          <w:tcPr>
            <w:tcW w:w="2006" w:type="pct"/>
          </w:tcPr>
          <w:p w14:paraId="5DDAEE45" w14:textId="77777777" w:rsidR="000C361E" w:rsidRPr="00C9062F" w:rsidRDefault="000C361E" w:rsidP="00451FB8">
            <w:pPr>
              <w:pStyle w:val="TabletextrowsAgency"/>
            </w:pPr>
            <w:r w:rsidRPr="00451FB8">
              <w:rPr>
                <w:b/>
              </w:rPr>
              <w:t>Comment:</w:t>
            </w:r>
            <w:r>
              <w:t xml:space="preserve"> It is not clear that the MAHs will be made aware of Agency follow up for reports not meeting reporting criteria.</w:t>
            </w:r>
            <w:r w:rsidRPr="00924C7B">
              <w:t xml:space="preserve"> </w:t>
            </w:r>
            <w:r>
              <w:t>Also w</w:t>
            </w:r>
            <w:r w:rsidRPr="00924C7B">
              <w:t xml:space="preserve">ill the </w:t>
            </w:r>
            <w:r w:rsidRPr="00FA41CF">
              <w:rPr>
                <w:i/>
              </w:rPr>
              <w:t xml:space="preserve">“tracking table with the attempt to obtain FU information” </w:t>
            </w:r>
            <w:r w:rsidRPr="00924C7B">
              <w:t xml:space="preserve">be available to MAH?   </w:t>
            </w:r>
          </w:p>
          <w:p w14:paraId="32F3B152" w14:textId="77777777" w:rsidR="00654642" w:rsidRPr="0098206D" w:rsidRDefault="000C361E" w:rsidP="00982C7A">
            <w:pPr>
              <w:pStyle w:val="TabletextrowsAgency"/>
              <w:rPr>
                <w:lang w:val="en-US"/>
              </w:rPr>
            </w:pPr>
            <w:r w:rsidRPr="00AE06E3">
              <w:rPr>
                <w:b/>
              </w:rPr>
              <w:t>Proposed change:</w:t>
            </w:r>
            <w:r>
              <w:t xml:space="preserve"> Add to section 4.1.2: </w:t>
            </w:r>
            <w:r w:rsidRPr="00AE06E3">
              <w:rPr>
                <w:lang w:val="en-US"/>
              </w:rPr>
              <w:t>“Where follow up is pursued for the serious cases not meeting minimum reporting criteria, this will be published along with the valid ICSRs listings and updated if/when follow up is received.”</w:t>
            </w:r>
          </w:p>
        </w:tc>
        <w:tc>
          <w:tcPr>
            <w:tcW w:w="1537" w:type="pct"/>
          </w:tcPr>
          <w:p w14:paraId="49E671FA" w14:textId="77777777" w:rsidR="000C361E" w:rsidRDefault="00982C7A" w:rsidP="00DF21F5">
            <w:pPr>
              <w:pStyle w:val="TabletextrowsAgency"/>
            </w:pPr>
            <w:r>
              <w:t>Follow-up:</w:t>
            </w:r>
          </w:p>
          <w:p w14:paraId="28AF5FD6" w14:textId="77777777" w:rsidR="00982C7A" w:rsidRDefault="00982C7A" w:rsidP="00DF21F5">
            <w:pPr>
              <w:pStyle w:val="TabletextrowsAgency"/>
              <w:rPr>
                <w:color w:val="333399"/>
              </w:rPr>
            </w:pPr>
            <w:r>
              <w:t xml:space="preserve">Process clarity </w:t>
            </w:r>
          </w:p>
        </w:tc>
      </w:tr>
      <w:tr w:rsidR="000C361E" w:rsidRPr="00B822FC" w14:paraId="73219F88" w14:textId="77777777" w:rsidTr="0098451C">
        <w:tc>
          <w:tcPr>
            <w:tcW w:w="645" w:type="pct"/>
          </w:tcPr>
          <w:p w14:paraId="6BBBDA64" w14:textId="77777777" w:rsidR="000C361E" w:rsidRDefault="000C361E" w:rsidP="00924C7B">
            <w:pPr>
              <w:pStyle w:val="TabletextrowsAgency"/>
            </w:pPr>
            <w:r>
              <w:t>216</w:t>
            </w:r>
          </w:p>
        </w:tc>
        <w:tc>
          <w:tcPr>
            <w:tcW w:w="812" w:type="pct"/>
          </w:tcPr>
          <w:p w14:paraId="20B62DEF" w14:textId="77777777" w:rsidR="000C361E" w:rsidRDefault="001B41FF" w:rsidP="003D1E4E">
            <w:pPr>
              <w:pStyle w:val="TabletextrowsAgency"/>
            </w:pPr>
            <w:r>
              <w:t>EFPIA</w:t>
            </w:r>
          </w:p>
        </w:tc>
        <w:tc>
          <w:tcPr>
            <w:tcW w:w="2006" w:type="pct"/>
          </w:tcPr>
          <w:p w14:paraId="080CEA31" w14:textId="77777777" w:rsidR="000C361E" w:rsidRPr="00FA41CF" w:rsidRDefault="000C361E" w:rsidP="00CE3838">
            <w:pPr>
              <w:spacing w:line="280" w:lineRule="exact"/>
              <w:rPr>
                <w:rFonts w:eastAsia="Times New Roman"/>
                <w:i/>
              </w:rPr>
            </w:pPr>
            <w:r w:rsidRPr="00924C7B">
              <w:rPr>
                <w:b/>
              </w:rPr>
              <w:t>Comment:</w:t>
            </w:r>
            <w:r>
              <w:rPr>
                <w:b/>
              </w:rPr>
              <w:t xml:space="preserve"> </w:t>
            </w:r>
            <w:r w:rsidRPr="00CE3838">
              <w:t xml:space="preserve">Re </w:t>
            </w:r>
            <w:r w:rsidRPr="00FA41CF">
              <w:rPr>
                <w:b/>
                <w:i/>
              </w:rPr>
              <w:t>“</w:t>
            </w:r>
            <w:r w:rsidRPr="00FA41CF">
              <w:rPr>
                <w:rFonts w:eastAsia="Times New Roman"/>
                <w:i/>
              </w:rPr>
              <w:t xml:space="preserve">Where a MAH obtains additional follow-up information outside the follow-up process operated by the Agency, the MAH should send a follow-up case with the new information to EudraVigilance.” </w:t>
            </w:r>
          </w:p>
          <w:p w14:paraId="72810E66" w14:textId="77777777" w:rsidR="000C361E" w:rsidRPr="00CE3838" w:rsidRDefault="000C361E" w:rsidP="00CE3838">
            <w:pPr>
              <w:spacing w:line="280" w:lineRule="exact"/>
              <w:rPr>
                <w:rFonts w:eastAsia="Times New Roman"/>
              </w:rPr>
            </w:pPr>
            <w:r>
              <w:rPr>
                <w:rFonts w:eastAsia="Times New Roman"/>
              </w:rPr>
              <w:t>This recognises</w:t>
            </w:r>
            <w:r w:rsidRPr="00CE3838">
              <w:rPr>
                <w:rFonts w:eastAsia="Times New Roman"/>
              </w:rPr>
              <w:t xml:space="preserve"> the need for </w:t>
            </w:r>
            <w:r>
              <w:rPr>
                <w:rFonts w:eastAsia="Times New Roman"/>
              </w:rPr>
              <w:t>efficient du</w:t>
            </w:r>
            <w:r w:rsidRPr="00CE3838">
              <w:rPr>
                <w:rFonts w:eastAsia="Times New Roman"/>
              </w:rPr>
              <w:t>plicate checking by both the Service provider</w:t>
            </w:r>
            <w:r>
              <w:rPr>
                <w:rFonts w:eastAsia="Times New Roman"/>
              </w:rPr>
              <w:t xml:space="preserve"> and</w:t>
            </w:r>
            <w:r w:rsidRPr="00CE3838">
              <w:rPr>
                <w:rFonts w:eastAsia="Times New Roman"/>
              </w:rPr>
              <w:t xml:space="preserve"> the MAH </w:t>
            </w:r>
            <w:r>
              <w:rPr>
                <w:rFonts w:eastAsia="Times New Roman"/>
              </w:rPr>
              <w:t>(upon download)</w:t>
            </w:r>
            <w:r w:rsidRPr="00CE3838">
              <w:rPr>
                <w:rFonts w:eastAsia="Times New Roman"/>
              </w:rPr>
              <w:t xml:space="preserve"> for ICSRs </w:t>
            </w:r>
            <w:r>
              <w:rPr>
                <w:rFonts w:eastAsia="Times New Roman"/>
              </w:rPr>
              <w:t xml:space="preserve">already entered </w:t>
            </w:r>
            <w:r w:rsidRPr="00CE3838">
              <w:rPr>
                <w:rFonts w:eastAsia="Times New Roman"/>
              </w:rPr>
              <w:t>pre-publication</w:t>
            </w:r>
            <w:r>
              <w:rPr>
                <w:rFonts w:eastAsia="Times New Roman"/>
              </w:rPr>
              <w:t>, and that the MAH may already be seeking or have additional information</w:t>
            </w:r>
            <w:r w:rsidRPr="00CE3838">
              <w:rPr>
                <w:rFonts w:eastAsia="Times New Roman"/>
              </w:rPr>
              <w:t xml:space="preserve">. </w:t>
            </w:r>
          </w:p>
          <w:p w14:paraId="5C124C86" w14:textId="77777777" w:rsidR="000C361E" w:rsidRDefault="000C361E" w:rsidP="004E4D38">
            <w:pPr>
              <w:pStyle w:val="TabletextrowsAgency"/>
            </w:pPr>
            <w:r w:rsidRPr="00AE06E3">
              <w:rPr>
                <w:b/>
              </w:rPr>
              <w:t>Proposed change:</w:t>
            </w:r>
            <w:r>
              <w:t xml:space="preserve"> </w:t>
            </w:r>
            <w:r w:rsidRPr="00CE3838">
              <w:t xml:space="preserve">In case of MAHs </w:t>
            </w:r>
            <w:r>
              <w:t>identifying duplicates and</w:t>
            </w:r>
            <w:r w:rsidRPr="00CE3838">
              <w:t xml:space="preserve"> having follow-up in process or </w:t>
            </w:r>
            <w:r>
              <w:t>where</w:t>
            </w:r>
            <w:r w:rsidRPr="00CE3838">
              <w:t xml:space="preserve"> additional information</w:t>
            </w:r>
            <w:r>
              <w:t xml:space="preserve"> needed</w:t>
            </w:r>
            <w:r w:rsidRPr="00CE3838">
              <w:t>,</w:t>
            </w:r>
            <w:r>
              <w:rPr>
                <w:b/>
              </w:rPr>
              <w:t xml:space="preserve"> </w:t>
            </w:r>
            <w:r>
              <w:t>will the Agency consider a process for the</w:t>
            </w:r>
            <w:r w:rsidRPr="00924C7B">
              <w:t xml:space="preserve"> literature vendor </w:t>
            </w:r>
            <w:r>
              <w:t xml:space="preserve">to consolidate data and/or </w:t>
            </w:r>
            <w:r w:rsidRPr="00924C7B">
              <w:t xml:space="preserve">additional questions from MAH </w:t>
            </w:r>
            <w:r>
              <w:t xml:space="preserve">- </w:t>
            </w:r>
            <w:r w:rsidRPr="00924C7B">
              <w:t>follow-up a</w:t>
            </w:r>
            <w:r>
              <w:t>ccordingly</w:t>
            </w:r>
            <w:r w:rsidRPr="00924C7B">
              <w:t xml:space="preserve"> to the author?  </w:t>
            </w:r>
          </w:p>
          <w:p w14:paraId="450E990E" w14:textId="77777777" w:rsidR="00BD7653" w:rsidRPr="00BD7653" w:rsidRDefault="00BD7653" w:rsidP="00BD7653">
            <w:pPr>
              <w:spacing w:line="280" w:lineRule="exact"/>
              <w:rPr>
                <w:bCs/>
              </w:rPr>
            </w:pPr>
            <w:r w:rsidRPr="00BD7653">
              <w:rPr>
                <w:bCs/>
              </w:rPr>
              <w:t>Please define the process if a literature report is not captured by EMA provider and is later identified by MAH?</w:t>
            </w:r>
          </w:p>
        </w:tc>
        <w:tc>
          <w:tcPr>
            <w:tcW w:w="1537" w:type="pct"/>
          </w:tcPr>
          <w:p w14:paraId="5C1288E6" w14:textId="77777777" w:rsidR="000C361E" w:rsidRDefault="009A6A17" w:rsidP="009A6A17">
            <w:pPr>
              <w:pStyle w:val="TabletextrowsAgency"/>
            </w:pPr>
            <w:r>
              <w:t>Duplication / Follow-up:</w:t>
            </w:r>
          </w:p>
          <w:p w14:paraId="4E1ABF16" w14:textId="77777777" w:rsidR="009A6A17" w:rsidRDefault="009A6A17" w:rsidP="009A6A17">
            <w:pPr>
              <w:pStyle w:val="TabletextrowsAgency"/>
              <w:rPr>
                <w:color w:val="333399"/>
              </w:rPr>
            </w:pPr>
            <w:r>
              <w:t>Process clarity / Compliance</w:t>
            </w:r>
          </w:p>
        </w:tc>
      </w:tr>
      <w:tr w:rsidR="0006325D" w:rsidRPr="00B822FC" w14:paraId="52FEE7DA" w14:textId="77777777" w:rsidTr="0098451C">
        <w:tc>
          <w:tcPr>
            <w:tcW w:w="645" w:type="pct"/>
          </w:tcPr>
          <w:p w14:paraId="6BF21DDD" w14:textId="77777777" w:rsidR="0006325D" w:rsidRDefault="0006325D" w:rsidP="003D1E4E">
            <w:pPr>
              <w:pStyle w:val="TabletextrowsAgency"/>
            </w:pPr>
            <w:r>
              <w:t>238-239</w:t>
            </w:r>
          </w:p>
        </w:tc>
        <w:tc>
          <w:tcPr>
            <w:tcW w:w="812" w:type="pct"/>
          </w:tcPr>
          <w:p w14:paraId="4270920F" w14:textId="77777777" w:rsidR="0006325D" w:rsidRDefault="001B41FF" w:rsidP="003D1E4E">
            <w:pPr>
              <w:pStyle w:val="TabletextrowsAgency"/>
            </w:pPr>
            <w:r>
              <w:t>EFPIA</w:t>
            </w:r>
          </w:p>
        </w:tc>
        <w:tc>
          <w:tcPr>
            <w:tcW w:w="2006" w:type="pct"/>
          </w:tcPr>
          <w:p w14:paraId="73A01D24" w14:textId="77777777" w:rsidR="0006325D" w:rsidRPr="001B4422" w:rsidRDefault="0006325D" w:rsidP="008C4153">
            <w:pPr>
              <w:pStyle w:val="TabletextrowsAgency"/>
              <w:rPr>
                <w:b/>
              </w:rPr>
            </w:pPr>
            <w:r w:rsidRPr="008C4153">
              <w:rPr>
                <w:b/>
              </w:rPr>
              <w:t xml:space="preserve">Comment: </w:t>
            </w:r>
            <w:r>
              <w:t>The electronic format should enable the MAH to import the ICSR directly into the PV DB of MAH.</w:t>
            </w:r>
          </w:p>
          <w:p w14:paraId="608AEA28" w14:textId="77777777" w:rsidR="0006325D" w:rsidRPr="001B4422" w:rsidRDefault="0006325D" w:rsidP="003D1E4E">
            <w:pPr>
              <w:pStyle w:val="TabletextrowsAgency"/>
              <w:rPr>
                <w:b/>
              </w:rPr>
            </w:pPr>
            <w:r w:rsidRPr="008C4153">
              <w:rPr>
                <w:b/>
              </w:rPr>
              <w:t>Proposed ch</w:t>
            </w:r>
            <w:r>
              <w:rPr>
                <w:b/>
              </w:rPr>
              <w:t>ange</w:t>
            </w:r>
            <w:r w:rsidRPr="008C4153">
              <w:rPr>
                <w:b/>
              </w:rPr>
              <w:t xml:space="preserve">: </w:t>
            </w:r>
            <w:r>
              <w:t xml:space="preserve">The ICSRs entered in EudraVigilance as a result of the scientific and medical literature screening activities are published daily in </w:t>
            </w:r>
            <w:r w:rsidRPr="0001312B">
              <w:rPr>
                <w:b/>
                <w:color w:val="0000FF"/>
              </w:rPr>
              <w:t>ICH E2B xml</w:t>
            </w:r>
            <w:r>
              <w:t xml:space="preserve"> format for download by MAHs. </w:t>
            </w:r>
          </w:p>
        </w:tc>
        <w:tc>
          <w:tcPr>
            <w:tcW w:w="1537" w:type="pct"/>
          </w:tcPr>
          <w:p w14:paraId="4C45F8F1" w14:textId="77777777" w:rsidR="0006325D" w:rsidRDefault="0006325D" w:rsidP="00C70E9E">
            <w:pPr>
              <w:pStyle w:val="TabletextrowsAgency"/>
            </w:pPr>
            <w:r>
              <w:t>Technical:</w:t>
            </w:r>
          </w:p>
          <w:p w14:paraId="336C0B6B" w14:textId="77777777" w:rsidR="0006325D" w:rsidRDefault="0006325D" w:rsidP="00C70E9E">
            <w:pPr>
              <w:pStyle w:val="TabletextrowsAgency"/>
            </w:pPr>
            <w:r>
              <w:t>Process clarity</w:t>
            </w:r>
          </w:p>
        </w:tc>
      </w:tr>
      <w:tr w:rsidR="0006325D" w:rsidRPr="00B822FC" w14:paraId="631DDF6F" w14:textId="77777777" w:rsidTr="0098451C">
        <w:tc>
          <w:tcPr>
            <w:tcW w:w="645" w:type="pct"/>
          </w:tcPr>
          <w:p w14:paraId="18118A30" w14:textId="77777777" w:rsidR="0006325D" w:rsidRPr="004E5142" w:rsidRDefault="0006325D" w:rsidP="003D1E4E">
            <w:pPr>
              <w:pStyle w:val="TabletextrowsAgency"/>
            </w:pPr>
            <w:r>
              <w:t>238-246</w:t>
            </w:r>
          </w:p>
        </w:tc>
        <w:tc>
          <w:tcPr>
            <w:tcW w:w="812" w:type="pct"/>
          </w:tcPr>
          <w:p w14:paraId="73EF0DCE" w14:textId="77777777" w:rsidR="0006325D" w:rsidRPr="004E5142" w:rsidRDefault="001B41FF" w:rsidP="003D1E4E">
            <w:pPr>
              <w:pStyle w:val="TabletextrowsAgency"/>
            </w:pPr>
            <w:r>
              <w:t>EFPIA</w:t>
            </w:r>
          </w:p>
        </w:tc>
        <w:tc>
          <w:tcPr>
            <w:tcW w:w="2006" w:type="pct"/>
          </w:tcPr>
          <w:p w14:paraId="34F184C8" w14:textId="77777777" w:rsidR="0006325D" w:rsidRDefault="0006325D" w:rsidP="003D1E4E">
            <w:pPr>
              <w:pStyle w:val="TabletextrowsAgency"/>
            </w:pPr>
            <w:r w:rsidRPr="00F24BDF">
              <w:rPr>
                <w:b/>
              </w:rPr>
              <w:t>Comment:</w:t>
            </w:r>
            <w:r>
              <w:rPr>
                <w:b/>
              </w:rPr>
              <w:t xml:space="preserve"> </w:t>
            </w:r>
            <w:r>
              <w:t xml:space="preserve">With the product-specific expertise held by the </w:t>
            </w:r>
            <w:r>
              <w:lastRenderedPageBreak/>
              <w:t>MAH, a non-MAH literature group may not recognise particular events as medically significant for a specific product, thereby classifying a serious adverse event incorrectly as non-serious.</w:t>
            </w:r>
          </w:p>
          <w:p w14:paraId="307FCAB1" w14:textId="77777777" w:rsidR="0006325D" w:rsidRPr="000C361E" w:rsidRDefault="0006325D" w:rsidP="00026F20">
            <w:pPr>
              <w:pStyle w:val="TabletextrowsAgency"/>
            </w:pPr>
            <w:r>
              <w:rPr>
                <w:b/>
              </w:rPr>
              <w:t>Proposed change:</w:t>
            </w:r>
            <w:r w:rsidRPr="003D1E4E">
              <w:rPr>
                <w:b/>
              </w:rPr>
              <w:t xml:space="preserve"> </w:t>
            </w:r>
            <w:r>
              <w:t xml:space="preserve">We would </w:t>
            </w:r>
            <w:r w:rsidRPr="009A3301">
              <w:t>propose</w:t>
            </w:r>
            <w:r>
              <w:t xml:space="preserve"> that there is</w:t>
            </w:r>
            <w:r w:rsidRPr="009A3301">
              <w:t xml:space="preserve"> a mechanism for MAH input and comment on classifications </w:t>
            </w:r>
          </w:p>
        </w:tc>
        <w:tc>
          <w:tcPr>
            <w:tcW w:w="1537" w:type="pct"/>
          </w:tcPr>
          <w:p w14:paraId="318FC091" w14:textId="77777777" w:rsidR="0006325D" w:rsidRDefault="0006325D" w:rsidP="003D1E4E">
            <w:pPr>
              <w:pStyle w:val="TabletextrowsAgency"/>
            </w:pPr>
            <w:r>
              <w:lastRenderedPageBreak/>
              <w:t>Assessment:</w:t>
            </w:r>
          </w:p>
          <w:p w14:paraId="72DB5377" w14:textId="77777777" w:rsidR="0006325D" w:rsidRDefault="0006325D" w:rsidP="003D1E4E">
            <w:pPr>
              <w:pStyle w:val="TabletextrowsAgency"/>
              <w:rPr>
                <w:color w:val="333399"/>
              </w:rPr>
            </w:pPr>
            <w:r>
              <w:lastRenderedPageBreak/>
              <w:t>Process clarity / Compliance</w:t>
            </w:r>
          </w:p>
        </w:tc>
      </w:tr>
      <w:tr w:rsidR="0006325D" w:rsidRPr="00B822FC" w14:paraId="70118A36" w14:textId="77777777" w:rsidTr="00DF21F5">
        <w:tc>
          <w:tcPr>
            <w:tcW w:w="645" w:type="pct"/>
          </w:tcPr>
          <w:p w14:paraId="0C11920C" w14:textId="77777777" w:rsidR="0006325D" w:rsidRPr="004E5142" w:rsidRDefault="0006325D" w:rsidP="00DF21F5">
            <w:pPr>
              <w:pStyle w:val="TabletextrowsAgency"/>
            </w:pPr>
            <w:r>
              <w:lastRenderedPageBreak/>
              <w:t>241-244</w:t>
            </w:r>
          </w:p>
        </w:tc>
        <w:tc>
          <w:tcPr>
            <w:tcW w:w="812" w:type="pct"/>
          </w:tcPr>
          <w:p w14:paraId="191C9F58" w14:textId="77777777" w:rsidR="0006325D" w:rsidRPr="004E5142" w:rsidRDefault="001B41FF" w:rsidP="00DF21F5">
            <w:pPr>
              <w:pStyle w:val="TabletextrowsAgency"/>
            </w:pPr>
            <w:r>
              <w:t>EFPIA</w:t>
            </w:r>
          </w:p>
        </w:tc>
        <w:tc>
          <w:tcPr>
            <w:tcW w:w="2006" w:type="pct"/>
          </w:tcPr>
          <w:p w14:paraId="7A19A34B" w14:textId="77777777" w:rsidR="0006325D" w:rsidRPr="00026F20" w:rsidRDefault="0006325D" w:rsidP="00FA41CF">
            <w:pPr>
              <w:spacing w:line="280" w:lineRule="exact"/>
              <w:rPr>
                <w:rFonts w:eastAsia="Times New Roman"/>
              </w:rPr>
            </w:pPr>
            <w:r w:rsidRPr="00026F20">
              <w:rPr>
                <w:rFonts w:eastAsia="Times New Roman"/>
              </w:rPr>
              <w:t>“A listing is provided to MAHs for ease of identification of applicable ICSRs at the EudraVigilance restricted website.”</w:t>
            </w:r>
          </w:p>
          <w:p w14:paraId="449A7A85" w14:textId="77777777" w:rsidR="0006325D" w:rsidRPr="002D2305" w:rsidRDefault="0006325D" w:rsidP="00FA41CF">
            <w:pPr>
              <w:spacing w:line="280" w:lineRule="exact"/>
            </w:pPr>
            <w:r w:rsidRPr="002D2305">
              <w:rPr>
                <w:rFonts w:eastAsia="Times New Roman"/>
                <w:b/>
              </w:rPr>
              <w:t>Comment:</w:t>
            </w:r>
            <w:r>
              <w:t xml:space="preserve"> </w:t>
            </w:r>
            <w:r w:rsidRPr="00026F20">
              <w:rPr>
                <w:rFonts w:eastAsia="Times New Roman"/>
              </w:rPr>
              <w:t>MAH will need to perform reconciliation between the ICSR posted on the EudraVigilance restricted website and their global safety database</w:t>
            </w:r>
            <w:r>
              <w:rPr>
                <w:rFonts w:eastAsia="Times New Roman"/>
              </w:rPr>
              <w:t>, accordingly;</w:t>
            </w:r>
          </w:p>
          <w:p w14:paraId="755B06F9" w14:textId="77777777" w:rsidR="0006325D" w:rsidRPr="00026F20" w:rsidRDefault="0006325D" w:rsidP="00FA41CF">
            <w:pPr>
              <w:spacing w:line="280" w:lineRule="exact"/>
              <w:rPr>
                <w:rFonts w:eastAsia="Times New Roman"/>
              </w:rPr>
            </w:pPr>
            <w:r w:rsidRPr="00D92237">
              <w:rPr>
                <w:rFonts w:eastAsia="Times New Roman"/>
              </w:rPr>
              <w:t xml:space="preserve">Is the listing provided to MAH updated daily? Will the updates from this listing be highlighted in order to facilitate the tracking of newly added/corrected information? </w:t>
            </w:r>
            <w:r w:rsidRPr="00026F20">
              <w:rPr>
                <w:rFonts w:eastAsia="Times New Roman"/>
              </w:rPr>
              <w:t>Will the title of the article, author's names or Journal title and</w:t>
            </w:r>
            <w:r>
              <w:rPr>
                <w:rFonts w:eastAsia="Times New Roman"/>
              </w:rPr>
              <w:t xml:space="preserve"> </w:t>
            </w:r>
            <w:r w:rsidRPr="00026F20">
              <w:rPr>
                <w:rFonts w:eastAsia="Times New Roman"/>
              </w:rPr>
              <w:t>the reported ADR(s) be provided to assist with a duplicate check when performing reconciliation?</w:t>
            </w:r>
          </w:p>
        </w:tc>
        <w:tc>
          <w:tcPr>
            <w:tcW w:w="1537" w:type="pct"/>
          </w:tcPr>
          <w:p w14:paraId="40276350" w14:textId="77777777" w:rsidR="0006325D" w:rsidRDefault="0006325D" w:rsidP="00DF21F5">
            <w:pPr>
              <w:pStyle w:val="TabletextrowsAgency"/>
            </w:pPr>
            <w:r>
              <w:t>Lists / Reconciliation:</w:t>
            </w:r>
          </w:p>
          <w:p w14:paraId="4219BA6C" w14:textId="77777777" w:rsidR="0006325D" w:rsidRDefault="00E22385" w:rsidP="00DF21F5">
            <w:pPr>
              <w:pStyle w:val="TabletextrowsAgency"/>
              <w:rPr>
                <w:color w:val="333399"/>
              </w:rPr>
            </w:pPr>
            <w:r>
              <w:t>Process clarity / Compliance</w:t>
            </w:r>
          </w:p>
        </w:tc>
      </w:tr>
      <w:tr w:rsidR="0006325D" w:rsidRPr="00B822FC" w14:paraId="6B604BD0" w14:textId="77777777" w:rsidTr="00DF21F5">
        <w:tc>
          <w:tcPr>
            <w:tcW w:w="645" w:type="pct"/>
          </w:tcPr>
          <w:p w14:paraId="6BF036AC" w14:textId="77777777" w:rsidR="0006325D" w:rsidRPr="004E5142" w:rsidRDefault="0006325D" w:rsidP="00DF21F5">
            <w:pPr>
              <w:pStyle w:val="TabletextrowsAgency"/>
            </w:pPr>
            <w:r>
              <w:t>248-249</w:t>
            </w:r>
          </w:p>
        </w:tc>
        <w:tc>
          <w:tcPr>
            <w:tcW w:w="812" w:type="pct"/>
          </w:tcPr>
          <w:p w14:paraId="796E4477" w14:textId="77777777" w:rsidR="0006325D" w:rsidRPr="004E5142" w:rsidRDefault="001B41FF" w:rsidP="00DF21F5">
            <w:pPr>
              <w:pStyle w:val="TabletextrowsAgency"/>
            </w:pPr>
            <w:r>
              <w:t>EFPIA</w:t>
            </w:r>
          </w:p>
        </w:tc>
        <w:tc>
          <w:tcPr>
            <w:tcW w:w="2006" w:type="pct"/>
          </w:tcPr>
          <w:p w14:paraId="16457D4C" w14:textId="77777777" w:rsidR="0006325D" w:rsidRPr="000824A4" w:rsidRDefault="0006325D" w:rsidP="00567208">
            <w:pPr>
              <w:spacing w:line="280" w:lineRule="exact"/>
              <w:rPr>
                <w:rFonts w:eastAsia="Times New Roman"/>
                <w:b/>
                <w:color w:val="000000" w:themeColor="text1"/>
              </w:rPr>
            </w:pPr>
            <w:r>
              <w:rPr>
                <w:rFonts w:eastAsia="Times New Roman"/>
                <w:b/>
                <w:color w:val="000000" w:themeColor="text1"/>
              </w:rPr>
              <w:t xml:space="preserve">Comment:  </w:t>
            </w:r>
            <w:r w:rsidRPr="00567208">
              <w:rPr>
                <w:rFonts w:eastAsia="Times New Roman"/>
                <w:color w:val="000000" w:themeColor="text1"/>
              </w:rPr>
              <w:t xml:space="preserve">Given the impact on the MAH PV System and QMS for the Products authorized in the EEA, will the Agency regularly release data from the quality management practices, including any observations/area's for improvement, root cause analysis, corrective and preventative actions? How should MAHs organize the documentation in their PSMF?   </w:t>
            </w:r>
          </w:p>
        </w:tc>
        <w:tc>
          <w:tcPr>
            <w:tcW w:w="1537" w:type="pct"/>
          </w:tcPr>
          <w:p w14:paraId="02E48E07" w14:textId="77777777" w:rsidR="0006325D" w:rsidRDefault="00E22385" w:rsidP="00DF21F5">
            <w:pPr>
              <w:pStyle w:val="TabletextrowsAgency"/>
            </w:pPr>
            <w:r>
              <w:t>QMS:</w:t>
            </w:r>
          </w:p>
          <w:p w14:paraId="1529459D" w14:textId="77777777" w:rsidR="00E22385" w:rsidRDefault="00E22385" w:rsidP="00DF21F5">
            <w:pPr>
              <w:pStyle w:val="TabletextrowsAgency"/>
              <w:rPr>
                <w:color w:val="333399"/>
              </w:rPr>
            </w:pPr>
            <w:r>
              <w:t xml:space="preserve">Process clarity / Transparency </w:t>
            </w:r>
          </w:p>
        </w:tc>
      </w:tr>
      <w:tr w:rsidR="000E5738" w:rsidRPr="00B822FC" w14:paraId="4A39EC74" w14:textId="77777777" w:rsidTr="00DF21F5">
        <w:tc>
          <w:tcPr>
            <w:tcW w:w="645" w:type="pct"/>
          </w:tcPr>
          <w:p w14:paraId="684948BF" w14:textId="77777777" w:rsidR="000E5738" w:rsidRDefault="000E5738" w:rsidP="00DF21F5">
            <w:pPr>
              <w:pStyle w:val="TabletextrowsAgency"/>
            </w:pPr>
            <w:r>
              <w:t>259-260</w:t>
            </w:r>
          </w:p>
        </w:tc>
        <w:tc>
          <w:tcPr>
            <w:tcW w:w="812" w:type="pct"/>
          </w:tcPr>
          <w:p w14:paraId="5E78ADAA" w14:textId="77777777" w:rsidR="000E5738" w:rsidRDefault="000E5738" w:rsidP="00DF21F5">
            <w:pPr>
              <w:pStyle w:val="TabletextrowsAgency"/>
            </w:pPr>
            <w:r>
              <w:t>EFPIA</w:t>
            </w:r>
          </w:p>
        </w:tc>
        <w:tc>
          <w:tcPr>
            <w:tcW w:w="2006" w:type="pct"/>
          </w:tcPr>
          <w:p w14:paraId="56AB2A46" w14:textId="77777777" w:rsidR="000E5738" w:rsidRDefault="000E5738" w:rsidP="00981998">
            <w:pPr>
              <w:spacing w:line="280" w:lineRule="exact"/>
              <w:rPr>
                <w:rFonts w:eastAsia="Times New Roman"/>
                <w:b/>
                <w:color w:val="000000" w:themeColor="text1"/>
              </w:rPr>
            </w:pPr>
            <w:r w:rsidRPr="000E5738">
              <w:rPr>
                <w:b/>
              </w:rPr>
              <w:t>Comment:</w:t>
            </w:r>
            <w:r w:rsidR="00981998">
              <w:t xml:space="preserve">  </w:t>
            </w:r>
            <w:r>
              <w:t xml:space="preserve">Would it be possible to specify the types of enquiries which can be sent </w:t>
            </w:r>
            <w:r w:rsidR="00981998">
              <w:t xml:space="preserve">to the proposed service desk </w:t>
            </w:r>
            <w:r>
              <w:t>(i.e. case processing issues, questions related to assessment of the cases, technical issues or performance issues).</w:t>
            </w:r>
          </w:p>
        </w:tc>
        <w:tc>
          <w:tcPr>
            <w:tcW w:w="1537" w:type="pct"/>
          </w:tcPr>
          <w:p w14:paraId="7F819F42" w14:textId="77777777" w:rsidR="000E5738" w:rsidRDefault="000E5738" w:rsidP="00DF21F5">
            <w:pPr>
              <w:pStyle w:val="TabletextrowsAgency"/>
            </w:pPr>
            <w:r>
              <w:t>Service Desk:</w:t>
            </w:r>
          </w:p>
          <w:p w14:paraId="2AC7B365" w14:textId="77777777" w:rsidR="000E5738" w:rsidRDefault="000E5738" w:rsidP="00DF21F5">
            <w:pPr>
              <w:pStyle w:val="TabletextrowsAgency"/>
            </w:pPr>
            <w:r>
              <w:t>Process clarity</w:t>
            </w:r>
          </w:p>
        </w:tc>
      </w:tr>
      <w:tr w:rsidR="0006325D" w:rsidRPr="00B822FC" w14:paraId="2F0F90D3" w14:textId="77777777" w:rsidTr="0098451C">
        <w:tc>
          <w:tcPr>
            <w:tcW w:w="645" w:type="pct"/>
          </w:tcPr>
          <w:p w14:paraId="2B30F1E9" w14:textId="77777777" w:rsidR="0006325D" w:rsidRPr="004E5142" w:rsidRDefault="0006325D" w:rsidP="003D1E4E">
            <w:pPr>
              <w:pStyle w:val="TabletextrowsAgency"/>
            </w:pPr>
            <w:r>
              <w:t>265</w:t>
            </w:r>
          </w:p>
        </w:tc>
        <w:tc>
          <w:tcPr>
            <w:tcW w:w="812" w:type="pct"/>
          </w:tcPr>
          <w:p w14:paraId="0FBD5456" w14:textId="77777777" w:rsidR="0006325D" w:rsidRPr="004E5142" w:rsidRDefault="001B41FF" w:rsidP="003D1E4E">
            <w:pPr>
              <w:pStyle w:val="TabletextrowsAgency"/>
            </w:pPr>
            <w:r>
              <w:t>EFPIA</w:t>
            </w:r>
          </w:p>
        </w:tc>
        <w:tc>
          <w:tcPr>
            <w:tcW w:w="2006" w:type="pct"/>
          </w:tcPr>
          <w:p w14:paraId="6D590ECD" w14:textId="77777777" w:rsidR="0006325D" w:rsidRPr="000824A4" w:rsidRDefault="0006325D" w:rsidP="00451FB8">
            <w:pPr>
              <w:pStyle w:val="TabletextrowsAgency"/>
              <w:rPr>
                <w:b/>
              </w:rPr>
            </w:pPr>
            <w:r w:rsidRPr="00451FB8">
              <w:rPr>
                <w:b/>
              </w:rPr>
              <w:t xml:space="preserve">Comment: </w:t>
            </w:r>
            <w:r>
              <w:t>Further details for the pilot are required including who is involved and when it will happen.</w:t>
            </w:r>
          </w:p>
        </w:tc>
        <w:tc>
          <w:tcPr>
            <w:tcW w:w="1537" w:type="pct"/>
          </w:tcPr>
          <w:p w14:paraId="0C99CB15" w14:textId="77777777" w:rsidR="0006325D" w:rsidRDefault="00E22385" w:rsidP="003D1E4E">
            <w:pPr>
              <w:pStyle w:val="TabletextrowsAgency"/>
            </w:pPr>
            <w:r>
              <w:t>Pilot:</w:t>
            </w:r>
          </w:p>
          <w:p w14:paraId="03109ACE" w14:textId="77777777" w:rsidR="00E22385" w:rsidRDefault="00E22385" w:rsidP="00E22385">
            <w:pPr>
              <w:pStyle w:val="TabletextrowsAgency"/>
              <w:rPr>
                <w:color w:val="333399"/>
              </w:rPr>
            </w:pPr>
            <w:r>
              <w:t xml:space="preserve">Process clarity </w:t>
            </w:r>
          </w:p>
        </w:tc>
      </w:tr>
      <w:tr w:rsidR="0006325D" w:rsidRPr="00B822FC" w14:paraId="478AFA75" w14:textId="77777777" w:rsidTr="0098451C">
        <w:tc>
          <w:tcPr>
            <w:tcW w:w="645" w:type="pct"/>
          </w:tcPr>
          <w:p w14:paraId="0333CD25" w14:textId="77777777" w:rsidR="0006325D" w:rsidRDefault="0006325D" w:rsidP="00283293">
            <w:pPr>
              <w:pStyle w:val="TabletextrowsAgency"/>
            </w:pPr>
            <w:r>
              <w:t>247-266</w:t>
            </w:r>
          </w:p>
        </w:tc>
        <w:tc>
          <w:tcPr>
            <w:tcW w:w="812" w:type="pct"/>
          </w:tcPr>
          <w:p w14:paraId="7551AA6D" w14:textId="77777777" w:rsidR="0006325D" w:rsidRDefault="001B41FF" w:rsidP="003D1E4E">
            <w:pPr>
              <w:pStyle w:val="TabletextrowsAgency"/>
            </w:pPr>
            <w:r>
              <w:t>EFPIA</w:t>
            </w:r>
          </w:p>
        </w:tc>
        <w:tc>
          <w:tcPr>
            <w:tcW w:w="2006" w:type="pct"/>
          </w:tcPr>
          <w:p w14:paraId="59041B53" w14:textId="77777777" w:rsidR="0006325D" w:rsidRPr="000F487B" w:rsidRDefault="00654642" w:rsidP="00BD38F9">
            <w:pPr>
              <w:spacing w:line="280" w:lineRule="exact"/>
              <w:rPr>
                <w:bCs/>
              </w:rPr>
            </w:pPr>
            <w:r w:rsidRPr="00451FB8">
              <w:rPr>
                <w:b/>
              </w:rPr>
              <w:t xml:space="preserve">Comment: </w:t>
            </w:r>
            <w:r w:rsidR="0006325D" w:rsidRPr="00594956">
              <w:rPr>
                <w:bCs/>
              </w:rPr>
              <w:t xml:space="preserve">What if quality requirements are not met? Will </w:t>
            </w:r>
            <w:r w:rsidR="00BD38F9">
              <w:rPr>
                <w:bCs/>
              </w:rPr>
              <w:t xml:space="preserve">process </w:t>
            </w:r>
            <w:r w:rsidR="0006325D" w:rsidRPr="00594956">
              <w:rPr>
                <w:bCs/>
              </w:rPr>
              <w:t xml:space="preserve">transition to another provider or revert back to MAH? </w:t>
            </w:r>
          </w:p>
        </w:tc>
        <w:tc>
          <w:tcPr>
            <w:tcW w:w="1537" w:type="pct"/>
          </w:tcPr>
          <w:p w14:paraId="0D991626" w14:textId="77777777" w:rsidR="00E22385" w:rsidRDefault="00E22385" w:rsidP="00E22385">
            <w:pPr>
              <w:pStyle w:val="TabletextrowsAgency"/>
            </w:pPr>
            <w:r>
              <w:t>QMS:</w:t>
            </w:r>
          </w:p>
          <w:p w14:paraId="44F35EDC" w14:textId="77777777" w:rsidR="0006325D" w:rsidRDefault="00E22385" w:rsidP="00E22385">
            <w:pPr>
              <w:pStyle w:val="TabletextrowsAgency"/>
              <w:rPr>
                <w:color w:val="333399"/>
              </w:rPr>
            </w:pPr>
            <w:r>
              <w:t xml:space="preserve">Process clarity </w:t>
            </w:r>
          </w:p>
        </w:tc>
      </w:tr>
    </w:tbl>
    <w:p w14:paraId="39B740DB" w14:textId="39281946" w:rsidR="0054348E" w:rsidRPr="00B822FC" w:rsidRDefault="0054348E" w:rsidP="0054348E">
      <w:pPr>
        <w:pStyle w:val="TableFigurenoteAgency"/>
      </w:pPr>
    </w:p>
    <w:sectPr w:rsidR="0054348E" w:rsidRPr="00B822FC" w:rsidSect="004F4B8A">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DAFD9" w14:textId="77777777" w:rsidR="006D0E72" w:rsidRDefault="006D0E72">
      <w:r>
        <w:separator/>
      </w:r>
    </w:p>
  </w:endnote>
  <w:endnote w:type="continuationSeparator" w:id="0">
    <w:p w14:paraId="5DCAE727" w14:textId="77777777" w:rsidR="006D0E72" w:rsidRDefault="006D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Kartika">
    <w:charset w:val="00"/>
    <w:family w:val="roman"/>
    <w:pitch w:val="variable"/>
    <w:sig w:usb0="00800003" w:usb1="00000000" w:usb2="00000000" w:usb3="00000000" w:csb0="00000001" w:csb1="00000000"/>
  </w:font>
  <w:font w:name="MS Shell Dlg">
    <w:charset w:val="00"/>
    <w:family w:val="swiss"/>
    <w:pitch w:val="variable"/>
    <w:sig w:usb0="E1002AFF" w:usb1="C0000002" w:usb2="00000008" w:usb3="00000000" w:csb0="0001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03420C" w:rsidRPr="00A44B87" w14:paraId="7464F170" w14:textId="77777777" w:rsidTr="00656E6A">
      <w:tc>
        <w:tcPr>
          <w:tcW w:w="5000" w:type="pct"/>
          <w:gridSpan w:val="2"/>
          <w:shd w:val="clear" w:color="auto" w:fill="auto"/>
          <w:tcMar>
            <w:left w:w="0" w:type="dxa"/>
            <w:right w:w="0" w:type="dxa"/>
          </w:tcMar>
        </w:tcPr>
        <w:p w14:paraId="049C1F2F" w14:textId="77777777" w:rsidR="0003420C" w:rsidRPr="00A44B87" w:rsidRDefault="0003420C">
          <w:pPr>
            <w:pStyle w:val="FooterAgency"/>
          </w:pPr>
        </w:p>
      </w:tc>
    </w:tr>
    <w:tr w:rsidR="0003420C" w:rsidRPr="00A44B87" w14:paraId="237EEFA2" w14:textId="77777777" w:rsidTr="00656E6A">
      <w:trPr>
        <w:trHeight w:val="355"/>
      </w:trPr>
      <w:tc>
        <w:tcPr>
          <w:tcW w:w="3291" w:type="pct"/>
          <w:shd w:val="clear" w:color="auto" w:fill="auto"/>
          <w:tcMar>
            <w:left w:w="0" w:type="dxa"/>
            <w:right w:w="0" w:type="dxa"/>
          </w:tcMar>
        </w:tcPr>
        <w:p w14:paraId="5F8F4BB3" w14:textId="77777777" w:rsidR="0003420C" w:rsidRPr="00A44B87" w:rsidRDefault="0003420C">
          <w:pPr>
            <w:pStyle w:val="FooterAgency"/>
          </w:pPr>
        </w:p>
      </w:tc>
      <w:tc>
        <w:tcPr>
          <w:tcW w:w="1709" w:type="pct"/>
          <w:shd w:val="clear" w:color="auto" w:fill="auto"/>
          <w:tcMar>
            <w:left w:w="0" w:type="dxa"/>
            <w:right w:w="0" w:type="dxa"/>
          </w:tcMar>
        </w:tcPr>
        <w:p w14:paraId="1757EF2B" w14:textId="77777777" w:rsidR="0003420C" w:rsidRPr="00A44B87" w:rsidRDefault="0003420C">
          <w:pPr>
            <w:pStyle w:val="FooterAgency"/>
          </w:pPr>
        </w:p>
      </w:tc>
    </w:tr>
    <w:tr w:rsidR="0003420C" w:rsidRPr="00A44B87" w14:paraId="6D67352C" w14:textId="77777777" w:rsidTr="00656E6A">
      <w:tc>
        <w:tcPr>
          <w:tcW w:w="3291" w:type="pct"/>
          <w:shd w:val="clear" w:color="auto" w:fill="auto"/>
          <w:tcMar>
            <w:left w:w="0" w:type="dxa"/>
            <w:right w:w="0" w:type="dxa"/>
          </w:tcMar>
        </w:tcPr>
        <w:p w14:paraId="57BBD75E" w14:textId="77777777" w:rsidR="0003420C" w:rsidRPr="00A44B87" w:rsidRDefault="0003420C">
          <w:pPr>
            <w:pStyle w:val="FooterAgency"/>
          </w:pPr>
        </w:p>
      </w:tc>
      <w:tc>
        <w:tcPr>
          <w:tcW w:w="1709" w:type="pct"/>
          <w:shd w:val="clear" w:color="auto" w:fill="auto"/>
          <w:tcMar>
            <w:left w:w="0" w:type="dxa"/>
            <w:right w:w="0" w:type="dxa"/>
          </w:tcMar>
        </w:tcPr>
        <w:p w14:paraId="5C420FDB" w14:textId="77777777" w:rsidR="0003420C" w:rsidRPr="00A44B87" w:rsidRDefault="004F4B8A" w:rsidP="00656E6A">
          <w:pPr>
            <w:pStyle w:val="PagenumberAgency"/>
            <w:ind w:right="210"/>
          </w:pPr>
          <w:r w:rsidRPr="006E62FC">
            <w:fldChar w:fldCharType="begin"/>
          </w:r>
          <w:r w:rsidR="0003420C" w:rsidRPr="006E62FC">
            <w:instrText xml:space="preserve"> PAGE </w:instrText>
          </w:r>
          <w:r w:rsidRPr="006E62FC">
            <w:fldChar w:fldCharType="separate"/>
          </w:r>
          <w:r w:rsidR="00E727F0">
            <w:rPr>
              <w:noProof/>
            </w:rPr>
            <w:t>2</w:t>
          </w:r>
          <w:r w:rsidRPr="006E62FC">
            <w:fldChar w:fldCharType="end"/>
          </w:r>
          <w:r w:rsidR="0003420C" w:rsidRPr="006E62FC">
            <w:t>/</w:t>
          </w:r>
          <w:r>
            <w:fldChar w:fldCharType="begin"/>
          </w:r>
          <w:r w:rsidR="0003420C">
            <w:instrText xml:space="preserve"> NUMPAGES </w:instrText>
          </w:r>
          <w:r>
            <w:fldChar w:fldCharType="separate"/>
          </w:r>
          <w:r w:rsidR="00E727F0">
            <w:rPr>
              <w:noProof/>
            </w:rPr>
            <w:t>15</w:t>
          </w:r>
          <w:r>
            <w:rPr>
              <w:noProof/>
            </w:rPr>
            <w:fldChar w:fldCharType="end"/>
          </w:r>
        </w:p>
      </w:tc>
    </w:tr>
  </w:tbl>
  <w:p w14:paraId="2B6FD96A" w14:textId="77777777" w:rsidR="0003420C" w:rsidRDefault="0003420C">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03420C" w:rsidRPr="00A44B87" w14:paraId="490891AE" w14:textId="77777777" w:rsidTr="00656E6A">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6F87D523" w14:textId="77777777" w:rsidR="0003420C" w:rsidRPr="00A44B87" w:rsidRDefault="0003420C">
          <w:pPr>
            <w:pStyle w:val="FooterAgency"/>
          </w:pPr>
        </w:p>
      </w:tc>
    </w:tr>
    <w:tr w:rsidR="0003420C" w:rsidRPr="00656E6A" w14:paraId="13DC15E5" w14:textId="77777777" w:rsidTr="00656E6A">
      <w:trPr>
        <w:trHeight w:hRule="exact" w:val="198"/>
      </w:trPr>
      <w:tc>
        <w:tcPr>
          <w:tcW w:w="6206" w:type="dxa"/>
          <w:shd w:val="clear" w:color="auto" w:fill="auto"/>
          <w:tcMar>
            <w:left w:w="0" w:type="dxa"/>
            <w:right w:w="0" w:type="dxa"/>
          </w:tcMar>
          <w:vAlign w:val="bottom"/>
        </w:tcPr>
        <w:p w14:paraId="68C9A4B0" w14:textId="77777777" w:rsidR="0003420C" w:rsidRPr="003A07BE" w:rsidRDefault="0003420C">
          <w:pPr>
            <w:pStyle w:val="FooterAgency"/>
          </w:pPr>
          <w:r w:rsidRPr="003A07BE">
            <w:t xml:space="preserve">7 </w:t>
          </w:r>
          <w:proofErr w:type="spellStart"/>
          <w:r w:rsidRPr="003A07BE">
            <w:t>Westferry</w:t>
          </w:r>
          <w:proofErr w:type="spellEnd"/>
          <w:r w:rsidRPr="003A07BE">
            <w:t xml:space="preserve"> Circus </w:t>
          </w:r>
          <w:r w:rsidRPr="00696743">
            <w:rPr>
              <w:rStyle w:val="FooterblueAgencyCharChar"/>
            </w:rPr>
            <w:t>●</w:t>
          </w:r>
          <w:r w:rsidRPr="003A07BE">
            <w:t xml:space="preserve"> Canary Wharf </w:t>
          </w:r>
          <w:r w:rsidRPr="00696743">
            <w:rPr>
              <w:rStyle w:val="FooterblueAgencyCharChar"/>
            </w:rPr>
            <w:t>●</w:t>
          </w:r>
          <w:r w:rsidRPr="003A07BE">
            <w:t xml:space="preserve"> London E14 4HB </w:t>
          </w:r>
          <w:r w:rsidRPr="00696743">
            <w:rPr>
              <w:rStyle w:val="FooterblueAgencyCharChar"/>
            </w:rPr>
            <w:t>●</w:t>
          </w:r>
          <w:r w:rsidRPr="003A07BE">
            <w:t xml:space="preserve"> United Kingdom</w:t>
          </w:r>
        </w:p>
      </w:tc>
      <w:tc>
        <w:tcPr>
          <w:tcW w:w="3207" w:type="dxa"/>
          <w:vMerge w:val="restart"/>
          <w:shd w:val="clear" w:color="auto" w:fill="auto"/>
          <w:tcMar>
            <w:left w:w="0" w:type="dxa"/>
            <w:right w:w="0" w:type="dxa"/>
          </w:tcMar>
          <w:vAlign w:val="bottom"/>
        </w:tcPr>
        <w:tbl>
          <w:tblPr>
            <w:tblW w:w="0" w:type="auto"/>
            <w:jc w:val="right"/>
            <w:tblLook w:val="01E0" w:firstRow="1" w:lastRow="1" w:firstColumn="1" w:lastColumn="1" w:noHBand="0" w:noVBand="0"/>
          </w:tblPr>
          <w:tblGrid>
            <w:gridCol w:w="2476"/>
            <w:gridCol w:w="731"/>
          </w:tblGrid>
          <w:tr w:rsidR="0003420C" w:rsidRPr="00A44B87" w14:paraId="4B82E2A6" w14:textId="77777777" w:rsidTr="00656E6A">
            <w:trPr>
              <w:trHeight w:val="180"/>
              <w:tblHeader/>
              <w:jc w:val="right"/>
            </w:trPr>
            <w:tc>
              <w:tcPr>
                <w:tcW w:w="2478" w:type="dxa"/>
                <w:vMerge w:val="restart"/>
                <w:tcBorders>
                  <w:top w:val="nil"/>
                  <w:left w:val="nil"/>
                  <w:bottom w:val="nil"/>
                  <w:right w:val="nil"/>
                  <w:tl2br w:val="nil"/>
                  <w:tr2bl w:val="nil"/>
                </w:tcBorders>
                <w:shd w:val="clear" w:color="auto" w:fill="auto"/>
                <w:vAlign w:val="bottom"/>
              </w:tcPr>
              <w:p w14:paraId="1ABFE408" w14:textId="77777777" w:rsidR="0003420C" w:rsidRPr="00A44B87" w:rsidRDefault="0003420C" w:rsidP="00656E6A">
                <w:pPr>
                  <w:pStyle w:val="FooterAgency"/>
                  <w:jc w:val="right"/>
                </w:pPr>
                <w:r w:rsidRPr="00656E6A">
                  <w:rPr>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4E9BD68E" w14:textId="77777777" w:rsidR="0003420C" w:rsidRPr="00A44B87" w:rsidRDefault="0003420C" w:rsidP="00656E6A">
                <w:pPr>
                  <w:pStyle w:val="FooterAgency"/>
                  <w:jc w:val="right"/>
                </w:pPr>
                <w:r>
                  <w:rPr>
                    <w:noProof/>
                    <w:lang w:val="en-US" w:eastAsia="en-US"/>
                  </w:rPr>
                  <w:drawing>
                    <wp:inline distT="0" distB="0" distL="0" distR="0" wp14:anchorId="2C3956F7" wp14:editId="2ECA0877">
                      <wp:extent cx="391795" cy="268605"/>
                      <wp:effectExtent l="0" t="0" r="0" b="0"/>
                      <wp:docPr id="2" name="Bild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268605"/>
                              </a:xfrm>
                              <a:prstGeom prst="rect">
                                <a:avLst/>
                              </a:prstGeom>
                              <a:noFill/>
                              <a:ln>
                                <a:noFill/>
                              </a:ln>
                            </pic:spPr>
                          </pic:pic>
                        </a:graphicData>
                      </a:graphic>
                    </wp:inline>
                  </w:drawing>
                </w:r>
              </w:p>
            </w:tc>
          </w:tr>
          <w:tr w:rsidR="0003420C" w:rsidRPr="00A44B87" w14:paraId="5EF13972" w14:textId="77777777" w:rsidTr="00656E6A">
            <w:trPr>
              <w:trHeight w:val="390"/>
              <w:jc w:val="right"/>
            </w:trPr>
            <w:tc>
              <w:tcPr>
                <w:tcW w:w="2478" w:type="dxa"/>
                <w:vMerge/>
                <w:shd w:val="clear" w:color="auto" w:fill="auto"/>
                <w:vAlign w:val="bottom"/>
              </w:tcPr>
              <w:p w14:paraId="773DC4B5" w14:textId="77777777" w:rsidR="0003420C" w:rsidRPr="00A44B87" w:rsidRDefault="0003420C">
                <w:pPr>
                  <w:pStyle w:val="FooterAgency"/>
                </w:pPr>
              </w:p>
            </w:tc>
            <w:tc>
              <w:tcPr>
                <w:tcW w:w="709" w:type="dxa"/>
                <w:vMerge/>
                <w:shd w:val="clear" w:color="auto" w:fill="auto"/>
                <w:vAlign w:val="bottom"/>
              </w:tcPr>
              <w:p w14:paraId="17B03BC2" w14:textId="77777777" w:rsidR="0003420C" w:rsidRPr="00A44B87" w:rsidRDefault="0003420C">
                <w:pPr>
                  <w:pStyle w:val="FooterAgency"/>
                </w:pPr>
              </w:p>
            </w:tc>
          </w:tr>
        </w:tbl>
        <w:p w14:paraId="6735BE8D" w14:textId="77777777" w:rsidR="0003420C" w:rsidRPr="00A44B87" w:rsidRDefault="0003420C" w:rsidP="00656E6A">
          <w:pPr>
            <w:pStyle w:val="FooterAgency"/>
            <w:widowControl w:val="0"/>
            <w:adjustRightInd w:val="0"/>
            <w:jc w:val="right"/>
          </w:pPr>
        </w:p>
      </w:tc>
    </w:tr>
    <w:tr w:rsidR="0003420C" w:rsidRPr="00656E6A" w14:paraId="156C5FF4" w14:textId="77777777" w:rsidTr="00656E6A">
      <w:trPr>
        <w:trHeight w:val="390"/>
      </w:trPr>
      <w:tc>
        <w:tcPr>
          <w:tcW w:w="6206" w:type="dxa"/>
          <w:shd w:val="clear" w:color="auto" w:fill="auto"/>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03420C" w:rsidRPr="003A07BE" w14:paraId="2703C2B3" w14:textId="77777777">
            <w:trPr>
              <w:trHeight w:hRule="exact" w:val="198"/>
            </w:trPr>
            <w:tc>
              <w:tcPr>
                <w:tcW w:w="840" w:type="dxa"/>
                <w:gridSpan w:val="2"/>
                <w:vAlign w:val="bottom"/>
              </w:tcPr>
              <w:p w14:paraId="7D40B087" w14:textId="77777777" w:rsidR="0003420C" w:rsidRPr="003A07BE" w:rsidRDefault="0003420C">
                <w:pPr>
                  <w:pStyle w:val="FooterblueAgency"/>
                </w:pPr>
                <w:r w:rsidRPr="003A07BE">
                  <w:t>Telephone</w:t>
                </w:r>
              </w:p>
            </w:tc>
            <w:tc>
              <w:tcPr>
                <w:tcW w:w="1648" w:type="dxa"/>
                <w:gridSpan w:val="2"/>
                <w:vAlign w:val="bottom"/>
              </w:tcPr>
              <w:p w14:paraId="35C1300B" w14:textId="77777777" w:rsidR="0003420C" w:rsidRPr="003A07BE" w:rsidRDefault="0003420C">
                <w:pPr>
                  <w:pStyle w:val="FooterAgency"/>
                </w:pPr>
                <w:r w:rsidRPr="003A07BE">
                  <w:t>+44 (0)20 7418 8400</w:t>
                </w:r>
              </w:p>
            </w:tc>
            <w:tc>
              <w:tcPr>
                <w:tcW w:w="726" w:type="dxa"/>
                <w:gridSpan w:val="2"/>
                <w:vAlign w:val="bottom"/>
              </w:tcPr>
              <w:p w14:paraId="4F5CD95B" w14:textId="77777777" w:rsidR="0003420C" w:rsidRPr="003A07BE" w:rsidRDefault="0003420C">
                <w:pPr>
                  <w:pStyle w:val="FooterblueAgency"/>
                </w:pPr>
                <w:r w:rsidRPr="003A07BE">
                  <w:t>Facsimile</w:t>
                </w:r>
              </w:p>
            </w:tc>
            <w:tc>
              <w:tcPr>
                <w:tcW w:w="2767" w:type="dxa"/>
                <w:vAlign w:val="bottom"/>
              </w:tcPr>
              <w:p w14:paraId="380B5D36" w14:textId="77777777" w:rsidR="0003420C" w:rsidRPr="003A07BE" w:rsidRDefault="0003420C">
                <w:pPr>
                  <w:pStyle w:val="FooterAgency"/>
                </w:pPr>
                <w:r w:rsidRPr="003A07BE">
                  <w:t>+44 (0)20 7</w:t>
                </w:r>
                <w:r>
                  <w:t>418 8416</w:t>
                </w:r>
              </w:p>
            </w:tc>
          </w:tr>
          <w:tr w:rsidR="0003420C" w:rsidRPr="003A07BE" w14:paraId="45344A88" w14:textId="77777777">
            <w:trPr>
              <w:trHeight w:hRule="exact" w:val="198"/>
            </w:trPr>
            <w:tc>
              <w:tcPr>
                <w:tcW w:w="522" w:type="dxa"/>
                <w:vAlign w:val="bottom"/>
              </w:tcPr>
              <w:p w14:paraId="56511DF3" w14:textId="77777777" w:rsidR="0003420C" w:rsidRPr="003A07BE" w:rsidRDefault="0003420C">
                <w:pPr>
                  <w:pStyle w:val="FooterblueAgency"/>
                </w:pPr>
                <w:r w:rsidRPr="003A07BE">
                  <w:t>E-mail</w:t>
                </w:r>
              </w:p>
            </w:tc>
            <w:tc>
              <w:tcPr>
                <w:tcW w:w="1566" w:type="dxa"/>
                <w:gridSpan w:val="2"/>
                <w:vAlign w:val="bottom"/>
              </w:tcPr>
              <w:p w14:paraId="00F6D3B7" w14:textId="77777777" w:rsidR="0003420C" w:rsidRPr="003A07BE" w:rsidRDefault="0003420C">
                <w:pPr>
                  <w:pStyle w:val="FooterAgency"/>
                </w:pPr>
                <w:r w:rsidRPr="003A07BE">
                  <w:t>info@ema.europa.eu</w:t>
                </w:r>
              </w:p>
            </w:tc>
            <w:tc>
              <w:tcPr>
                <w:tcW w:w="649" w:type="dxa"/>
                <w:gridSpan w:val="2"/>
                <w:vAlign w:val="bottom"/>
              </w:tcPr>
              <w:p w14:paraId="1824BE31" w14:textId="77777777" w:rsidR="0003420C" w:rsidRPr="003A07BE" w:rsidRDefault="0003420C">
                <w:pPr>
                  <w:pStyle w:val="FooterblueAgency"/>
                </w:pPr>
                <w:r w:rsidRPr="003A07BE">
                  <w:t>Website</w:t>
                </w:r>
              </w:p>
            </w:tc>
            <w:tc>
              <w:tcPr>
                <w:tcW w:w="3244" w:type="dxa"/>
                <w:gridSpan w:val="2"/>
                <w:vAlign w:val="bottom"/>
              </w:tcPr>
              <w:p w14:paraId="54A125CF" w14:textId="77777777" w:rsidR="0003420C" w:rsidRPr="003A07BE" w:rsidRDefault="0003420C">
                <w:pPr>
                  <w:pStyle w:val="FooterAgency"/>
                </w:pPr>
                <w:r w:rsidRPr="003A07BE">
                  <w:t>www.ema.europa.eu</w:t>
                </w:r>
              </w:p>
            </w:tc>
          </w:tr>
        </w:tbl>
        <w:p w14:paraId="021C1AC7" w14:textId="77777777" w:rsidR="0003420C" w:rsidRPr="003A07BE" w:rsidRDefault="0003420C">
          <w:pPr>
            <w:pStyle w:val="FooterAgency"/>
          </w:pPr>
        </w:p>
      </w:tc>
      <w:tc>
        <w:tcPr>
          <w:tcW w:w="3207" w:type="dxa"/>
          <w:vMerge/>
          <w:shd w:val="clear" w:color="auto" w:fill="auto"/>
          <w:tcMar>
            <w:left w:w="0" w:type="dxa"/>
            <w:right w:w="0" w:type="dxa"/>
          </w:tcMar>
          <w:vAlign w:val="bottom"/>
        </w:tcPr>
        <w:p w14:paraId="0B3BEFD4" w14:textId="77777777" w:rsidR="0003420C" w:rsidRPr="00A44B87" w:rsidRDefault="0003420C">
          <w:pPr>
            <w:pStyle w:val="FooterAgency"/>
          </w:pPr>
        </w:p>
      </w:tc>
    </w:tr>
    <w:tr w:rsidR="0003420C" w:rsidRPr="00A44B87" w14:paraId="0122E148" w14:textId="77777777" w:rsidTr="00656E6A">
      <w:tc>
        <w:tcPr>
          <w:tcW w:w="9413" w:type="dxa"/>
          <w:gridSpan w:val="2"/>
          <w:shd w:val="clear" w:color="auto" w:fill="auto"/>
          <w:tcMar>
            <w:left w:w="0" w:type="dxa"/>
            <w:right w:w="0" w:type="dxa"/>
          </w:tcMar>
          <w:vAlign w:val="bottom"/>
        </w:tcPr>
        <w:p w14:paraId="79A9C621" w14:textId="77777777" w:rsidR="0003420C" w:rsidRPr="00A44B87" w:rsidRDefault="0003420C">
          <w:pPr>
            <w:pStyle w:val="FooterAgency"/>
          </w:pPr>
        </w:p>
      </w:tc>
    </w:tr>
    <w:tr w:rsidR="0003420C" w:rsidRPr="00A44B87" w14:paraId="72482FB2" w14:textId="77777777" w:rsidTr="00656E6A">
      <w:tc>
        <w:tcPr>
          <w:tcW w:w="9413" w:type="dxa"/>
          <w:gridSpan w:val="2"/>
          <w:shd w:val="clear" w:color="auto" w:fill="auto"/>
          <w:tcMar>
            <w:left w:w="0" w:type="dxa"/>
            <w:right w:w="0" w:type="dxa"/>
          </w:tcMar>
          <w:vAlign w:val="bottom"/>
        </w:tcPr>
        <w:p w14:paraId="322937A3" w14:textId="77777777" w:rsidR="0003420C" w:rsidRPr="00CE789B" w:rsidRDefault="0003420C" w:rsidP="00656E6A">
          <w:pPr>
            <w:pStyle w:val="FooterAgency"/>
            <w:jc w:val="center"/>
          </w:pPr>
        </w:p>
      </w:tc>
    </w:tr>
  </w:tbl>
  <w:p w14:paraId="565AAFF1" w14:textId="77777777" w:rsidR="0003420C" w:rsidRDefault="0003420C">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FF00B" w14:textId="77777777" w:rsidR="006D0E72" w:rsidRDefault="006D0E72">
      <w:r>
        <w:separator/>
      </w:r>
    </w:p>
  </w:footnote>
  <w:footnote w:type="continuationSeparator" w:id="0">
    <w:p w14:paraId="02F6532F" w14:textId="77777777" w:rsidR="006D0E72" w:rsidRDefault="006D0E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80F9" w14:textId="77777777" w:rsidR="0003420C" w:rsidRDefault="0003420C">
    <w:pPr>
      <w:pStyle w:val="FooterAgency"/>
      <w:jc w:val="center"/>
    </w:pPr>
    <w:r>
      <w:rPr>
        <w:noProof/>
        <w:lang w:val="en-US" w:eastAsia="en-US"/>
      </w:rPr>
      <w:drawing>
        <wp:inline distT="0" distB="0" distL="0" distR="0" wp14:anchorId="206376B0" wp14:editId="22CCF756">
          <wp:extent cx="3556000" cy="1799590"/>
          <wp:effectExtent l="0" t="0" r="0" b="0"/>
          <wp:docPr id="1" name="Bild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1799590"/>
                  </a:xfrm>
                  <a:prstGeom prst="rect">
                    <a:avLst/>
                  </a:prstGeom>
                  <a:noFill/>
                  <a:ln>
                    <a:noFill/>
                  </a:ln>
                </pic:spPr>
              </pic:pic>
            </a:graphicData>
          </a:graphic>
        </wp:inline>
      </w:drawing>
    </w:r>
    <w:r w:rsidRPr="00233628">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4335B1"/>
    <w:multiLevelType w:val="hybridMultilevel"/>
    <w:tmpl w:val="1A8CE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34026645"/>
    <w:multiLevelType w:val="hybridMultilevel"/>
    <w:tmpl w:val="48868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1B456E1"/>
    <w:multiLevelType w:val="hybridMultilevel"/>
    <w:tmpl w:val="6D2E1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F873840"/>
    <w:multiLevelType w:val="hybridMultilevel"/>
    <w:tmpl w:val="584A6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57D5616D"/>
    <w:multiLevelType w:val="hybridMultilevel"/>
    <w:tmpl w:val="9F0C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E2371E8"/>
    <w:multiLevelType w:val="hybridMultilevel"/>
    <w:tmpl w:val="87821AD0"/>
    <w:lvl w:ilvl="0" w:tplc="9D427A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D75507F"/>
    <w:multiLevelType w:val="hybridMultilevel"/>
    <w:tmpl w:val="E02A68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5"/>
  </w:num>
  <w:num w:numId="4">
    <w:abstractNumId w:val="22"/>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20"/>
  </w:num>
  <w:num w:numId="19">
    <w:abstractNumId w:val="12"/>
  </w:num>
  <w:num w:numId="20">
    <w:abstractNumId w:val="18"/>
  </w:num>
  <w:num w:numId="21">
    <w:abstractNumId w:val="23"/>
  </w:num>
  <w:num w:numId="22">
    <w:abstractNumId w:val="21"/>
  </w:num>
  <w:num w:numId="23">
    <w:abstractNumId w:val="19"/>
  </w:num>
  <w:num w:numId="24">
    <w:abstractNumId w:val="16"/>
  </w:num>
  <w:num w:numId="25">
    <w:abstractNumId w:val="24"/>
  </w:num>
  <w:num w:numId="2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47"/>
    <w:rsid w:val="00004842"/>
    <w:rsid w:val="00005F86"/>
    <w:rsid w:val="00026F20"/>
    <w:rsid w:val="0003034F"/>
    <w:rsid w:val="0003420C"/>
    <w:rsid w:val="00041B46"/>
    <w:rsid w:val="00056C1D"/>
    <w:rsid w:val="0006325D"/>
    <w:rsid w:val="000633CA"/>
    <w:rsid w:val="0007759E"/>
    <w:rsid w:val="000824A4"/>
    <w:rsid w:val="000A0743"/>
    <w:rsid w:val="000A1701"/>
    <w:rsid w:val="000B455E"/>
    <w:rsid w:val="000C361E"/>
    <w:rsid w:val="000C5818"/>
    <w:rsid w:val="000E3FC2"/>
    <w:rsid w:val="000E438F"/>
    <w:rsid w:val="000E5738"/>
    <w:rsid w:val="000E7ACD"/>
    <w:rsid w:val="000F1212"/>
    <w:rsid w:val="000F487B"/>
    <w:rsid w:val="001001B4"/>
    <w:rsid w:val="00102001"/>
    <w:rsid w:val="0011706E"/>
    <w:rsid w:val="00135E3C"/>
    <w:rsid w:val="001473F7"/>
    <w:rsid w:val="00150524"/>
    <w:rsid w:val="00150B93"/>
    <w:rsid w:val="00152406"/>
    <w:rsid w:val="00153D6B"/>
    <w:rsid w:val="001659F3"/>
    <w:rsid w:val="00175896"/>
    <w:rsid w:val="00183BEA"/>
    <w:rsid w:val="001B1FFB"/>
    <w:rsid w:val="001B31AE"/>
    <w:rsid w:val="001B41FF"/>
    <w:rsid w:val="001B4422"/>
    <w:rsid w:val="001C2FCE"/>
    <w:rsid w:val="001E75B4"/>
    <w:rsid w:val="001F3864"/>
    <w:rsid w:val="001F4D3D"/>
    <w:rsid w:val="0020534F"/>
    <w:rsid w:val="00210DFB"/>
    <w:rsid w:val="00252300"/>
    <w:rsid w:val="00257276"/>
    <w:rsid w:val="00257CEA"/>
    <w:rsid w:val="00257F8C"/>
    <w:rsid w:val="002723D4"/>
    <w:rsid w:val="002827BD"/>
    <w:rsid w:val="00282CA0"/>
    <w:rsid w:val="00282D58"/>
    <w:rsid w:val="00283293"/>
    <w:rsid w:val="002942EC"/>
    <w:rsid w:val="002A293E"/>
    <w:rsid w:val="002B241A"/>
    <w:rsid w:val="002D2305"/>
    <w:rsid w:val="002D2520"/>
    <w:rsid w:val="00306B06"/>
    <w:rsid w:val="003078AD"/>
    <w:rsid w:val="00310480"/>
    <w:rsid w:val="003173DD"/>
    <w:rsid w:val="00325298"/>
    <w:rsid w:val="003568C6"/>
    <w:rsid w:val="00356DC6"/>
    <w:rsid w:val="00397C54"/>
    <w:rsid w:val="003A0C94"/>
    <w:rsid w:val="003C407E"/>
    <w:rsid w:val="003D1E4E"/>
    <w:rsid w:val="003E18DA"/>
    <w:rsid w:val="003E40B9"/>
    <w:rsid w:val="003E495C"/>
    <w:rsid w:val="0040555E"/>
    <w:rsid w:val="00413763"/>
    <w:rsid w:val="004142C4"/>
    <w:rsid w:val="00416CFD"/>
    <w:rsid w:val="0042360D"/>
    <w:rsid w:val="00427C38"/>
    <w:rsid w:val="00437034"/>
    <w:rsid w:val="00442AC6"/>
    <w:rsid w:val="0044302F"/>
    <w:rsid w:val="00445269"/>
    <w:rsid w:val="00450C3B"/>
    <w:rsid w:val="00451FB8"/>
    <w:rsid w:val="00457AC0"/>
    <w:rsid w:val="00463600"/>
    <w:rsid w:val="0049019A"/>
    <w:rsid w:val="0049282A"/>
    <w:rsid w:val="0049628A"/>
    <w:rsid w:val="004B35AA"/>
    <w:rsid w:val="004C0F64"/>
    <w:rsid w:val="004C28E0"/>
    <w:rsid w:val="004E08AB"/>
    <w:rsid w:val="004E1373"/>
    <w:rsid w:val="004E4D38"/>
    <w:rsid w:val="004E5142"/>
    <w:rsid w:val="004E738E"/>
    <w:rsid w:val="004F3490"/>
    <w:rsid w:val="004F4B8A"/>
    <w:rsid w:val="004F6938"/>
    <w:rsid w:val="00510687"/>
    <w:rsid w:val="00520399"/>
    <w:rsid w:val="00522963"/>
    <w:rsid w:val="00526CF8"/>
    <w:rsid w:val="00536B30"/>
    <w:rsid w:val="00540744"/>
    <w:rsid w:val="0054348E"/>
    <w:rsid w:val="00545197"/>
    <w:rsid w:val="0054589C"/>
    <w:rsid w:val="00550D47"/>
    <w:rsid w:val="005525F6"/>
    <w:rsid w:val="00553FF1"/>
    <w:rsid w:val="005606B5"/>
    <w:rsid w:val="00567208"/>
    <w:rsid w:val="00573E82"/>
    <w:rsid w:val="00583486"/>
    <w:rsid w:val="00594956"/>
    <w:rsid w:val="00595589"/>
    <w:rsid w:val="005A1D88"/>
    <w:rsid w:val="005B2305"/>
    <w:rsid w:val="005C12DF"/>
    <w:rsid w:val="005E2C88"/>
    <w:rsid w:val="005F012B"/>
    <w:rsid w:val="006147E5"/>
    <w:rsid w:val="00642739"/>
    <w:rsid w:val="00654642"/>
    <w:rsid w:val="00656E6A"/>
    <w:rsid w:val="006613F2"/>
    <w:rsid w:val="00674686"/>
    <w:rsid w:val="0069460C"/>
    <w:rsid w:val="006A7BD6"/>
    <w:rsid w:val="006B1FDD"/>
    <w:rsid w:val="006B2295"/>
    <w:rsid w:val="006B3967"/>
    <w:rsid w:val="006C3489"/>
    <w:rsid w:val="006C6F15"/>
    <w:rsid w:val="006D0E72"/>
    <w:rsid w:val="006D0F1D"/>
    <w:rsid w:val="006D2F1B"/>
    <w:rsid w:val="006E2B1C"/>
    <w:rsid w:val="006F35F8"/>
    <w:rsid w:val="006F6988"/>
    <w:rsid w:val="00702C9D"/>
    <w:rsid w:val="00716152"/>
    <w:rsid w:val="00726194"/>
    <w:rsid w:val="007276A2"/>
    <w:rsid w:val="00740C02"/>
    <w:rsid w:val="00743A68"/>
    <w:rsid w:val="007575C8"/>
    <w:rsid w:val="007643CC"/>
    <w:rsid w:val="0076567C"/>
    <w:rsid w:val="00765F1E"/>
    <w:rsid w:val="00787984"/>
    <w:rsid w:val="007B4D7A"/>
    <w:rsid w:val="007B75AF"/>
    <w:rsid w:val="007C202B"/>
    <w:rsid w:val="008069F8"/>
    <w:rsid w:val="00812F90"/>
    <w:rsid w:val="00814ED6"/>
    <w:rsid w:val="00816A71"/>
    <w:rsid w:val="008225A8"/>
    <w:rsid w:val="00822C04"/>
    <w:rsid w:val="008359FA"/>
    <w:rsid w:val="00847302"/>
    <w:rsid w:val="0084755C"/>
    <w:rsid w:val="008562C7"/>
    <w:rsid w:val="008724AF"/>
    <w:rsid w:val="00874B72"/>
    <w:rsid w:val="0087515B"/>
    <w:rsid w:val="008907D1"/>
    <w:rsid w:val="00892519"/>
    <w:rsid w:val="008A1767"/>
    <w:rsid w:val="008C4153"/>
    <w:rsid w:val="008D6416"/>
    <w:rsid w:val="008D6D9C"/>
    <w:rsid w:val="008E5680"/>
    <w:rsid w:val="00902379"/>
    <w:rsid w:val="00902727"/>
    <w:rsid w:val="00924C7B"/>
    <w:rsid w:val="00944463"/>
    <w:rsid w:val="00956669"/>
    <w:rsid w:val="00976513"/>
    <w:rsid w:val="0098102F"/>
    <w:rsid w:val="00981998"/>
    <w:rsid w:val="0098206D"/>
    <w:rsid w:val="00982C7A"/>
    <w:rsid w:val="00983779"/>
    <w:rsid w:val="0098451C"/>
    <w:rsid w:val="009A1281"/>
    <w:rsid w:val="009A3058"/>
    <w:rsid w:val="009A42AD"/>
    <w:rsid w:val="009A6A17"/>
    <w:rsid w:val="009C15DB"/>
    <w:rsid w:val="009C408E"/>
    <w:rsid w:val="009C5128"/>
    <w:rsid w:val="009E264B"/>
    <w:rsid w:val="009E5565"/>
    <w:rsid w:val="009F78E6"/>
    <w:rsid w:val="00A22A31"/>
    <w:rsid w:val="00A44B36"/>
    <w:rsid w:val="00A457BE"/>
    <w:rsid w:val="00A5054C"/>
    <w:rsid w:val="00A5354D"/>
    <w:rsid w:val="00A70515"/>
    <w:rsid w:val="00A85C0A"/>
    <w:rsid w:val="00A869CD"/>
    <w:rsid w:val="00AA4FB6"/>
    <w:rsid w:val="00AB47E4"/>
    <w:rsid w:val="00AB66E4"/>
    <w:rsid w:val="00AB7980"/>
    <w:rsid w:val="00AE06E3"/>
    <w:rsid w:val="00AE4394"/>
    <w:rsid w:val="00AE7420"/>
    <w:rsid w:val="00AF3D7F"/>
    <w:rsid w:val="00B054E8"/>
    <w:rsid w:val="00B06C26"/>
    <w:rsid w:val="00B2553A"/>
    <w:rsid w:val="00B25E8A"/>
    <w:rsid w:val="00B520D2"/>
    <w:rsid w:val="00B62B17"/>
    <w:rsid w:val="00B829BF"/>
    <w:rsid w:val="00B843AE"/>
    <w:rsid w:val="00B871B1"/>
    <w:rsid w:val="00BC42AE"/>
    <w:rsid w:val="00BC7DF5"/>
    <w:rsid w:val="00BD38F9"/>
    <w:rsid w:val="00BD7653"/>
    <w:rsid w:val="00BE7B0E"/>
    <w:rsid w:val="00BF5A07"/>
    <w:rsid w:val="00C15F83"/>
    <w:rsid w:val="00C24C30"/>
    <w:rsid w:val="00C27A7D"/>
    <w:rsid w:val="00C31FDE"/>
    <w:rsid w:val="00C56955"/>
    <w:rsid w:val="00C862F9"/>
    <w:rsid w:val="00C9062F"/>
    <w:rsid w:val="00CA5068"/>
    <w:rsid w:val="00CC48C4"/>
    <w:rsid w:val="00CE054C"/>
    <w:rsid w:val="00CE3838"/>
    <w:rsid w:val="00CE47DE"/>
    <w:rsid w:val="00D1249E"/>
    <w:rsid w:val="00D2105B"/>
    <w:rsid w:val="00D220DF"/>
    <w:rsid w:val="00D26AD0"/>
    <w:rsid w:val="00D30C1A"/>
    <w:rsid w:val="00D472DA"/>
    <w:rsid w:val="00D54C27"/>
    <w:rsid w:val="00D612E9"/>
    <w:rsid w:val="00D613EA"/>
    <w:rsid w:val="00D61861"/>
    <w:rsid w:val="00D65704"/>
    <w:rsid w:val="00D73F3F"/>
    <w:rsid w:val="00D7521D"/>
    <w:rsid w:val="00D7588C"/>
    <w:rsid w:val="00D875A2"/>
    <w:rsid w:val="00D92237"/>
    <w:rsid w:val="00DA3BC5"/>
    <w:rsid w:val="00DA5884"/>
    <w:rsid w:val="00DB58BE"/>
    <w:rsid w:val="00DF1300"/>
    <w:rsid w:val="00DF21F5"/>
    <w:rsid w:val="00DF54B7"/>
    <w:rsid w:val="00DF73BF"/>
    <w:rsid w:val="00E0643D"/>
    <w:rsid w:val="00E121FD"/>
    <w:rsid w:val="00E14C49"/>
    <w:rsid w:val="00E22385"/>
    <w:rsid w:val="00E22E80"/>
    <w:rsid w:val="00E312E2"/>
    <w:rsid w:val="00E37326"/>
    <w:rsid w:val="00E41365"/>
    <w:rsid w:val="00E41620"/>
    <w:rsid w:val="00E47D1D"/>
    <w:rsid w:val="00E528DD"/>
    <w:rsid w:val="00E61F44"/>
    <w:rsid w:val="00E67FDD"/>
    <w:rsid w:val="00E727F0"/>
    <w:rsid w:val="00E72B56"/>
    <w:rsid w:val="00E75F10"/>
    <w:rsid w:val="00E85DDF"/>
    <w:rsid w:val="00E91956"/>
    <w:rsid w:val="00E92ACB"/>
    <w:rsid w:val="00E92BB9"/>
    <w:rsid w:val="00EA325F"/>
    <w:rsid w:val="00EB1280"/>
    <w:rsid w:val="00EB652C"/>
    <w:rsid w:val="00EB6CD6"/>
    <w:rsid w:val="00EC1E24"/>
    <w:rsid w:val="00EC6BD1"/>
    <w:rsid w:val="00ED0DF7"/>
    <w:rsid w:val="00EE03A9"/>
    <w:rsid w:val="00EE6846"/>
    <w:rsid w:val="00EF2A21"/>
    <w:rsid w:val="00F04436"/>
    <w:rsid w:val="00F14125"/>
    <w:rsid w:val="00F24BDF"/>
    <w:rsid w:val="00F304F9"/>
    <w:rsid w:val="00F47842"/>
    <w:rsid w:val="00F625C2"/>
    <w:rsid w:val="00F73BE4"/>
    <w:rsid w:val="00F903FD"/>
    <w:rsid w:val="00F904E0"/>
    <w:rsid w:val="00F90C68"/>
    <w:rsid w:val="00FA41CF"/>
    <w:rsid w:val="00FC0FAA"/>
    <w:rsid w:val="00FC488C"/>
    <w:rsid w:val="00FF6C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A9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cs="Verdana"/>
      <w:sz w:val="18"/>
      <w:szCs w:val="18"/>
      <w:lang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semiHidden/>
    <w:rPr>
      <w:rFonts w:eastAsia="Verdana"/>
      <w:color w:val="6D6F71"/>
      <w:sz w:val="14"/>
      <w:szCs w:val="14"/>
      <w:lang w:eastAsia="en-GB"/>
    </w:rPr>
  </w:style>
  <w:style w:type="paragraph" w:customStyle="1" w:styleId="FooterblueAgency">
    <w:name w:val="Footer blue (Agency)"/>
    <w:basedOn w:val="Normal"/>
    <w:link w:val="FooterblueAgencyCharChar"/>
    <w:semiHidden/>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Kartika" w:hAnsi="Kartik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MS Shell Dlg" w:hAnsi="MS Shell Dlg"/>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17"/>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18"/>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8"/>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18"/>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3"/>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Courier (W1)" w:hAnsi="Courier (W1)"/>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MS Shell Dlg" w:hAnsi="MS Shell Dl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1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4"/>
      </w:numPr>
    </w:pPr>
  </w:style>
  <w:style w:type="numbering" w:styleId="1ai">
    <w:name w:val="Outline List 1"/>
    <w:basedOn w:val="NoList"/>
    <w:semiHidden/>
    <w:pPr>
      <w:numPr>
        <w:numId w:val="5"/>
      </w:numPr>
    </w:pPr>
  </w:style>
  <w:style w:type="numbering" w:styleId="ArticleSection">
    <w:name w:val="Outline List 3"/>
    <w:basedOn w:val="NoList"/>
    <w:semiHidden/>
    <w:pPr>
      <w:numPr>
        <w:numId w:val="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styleId="ListBullet4">
    <w:name w:val="List Bullet 4"/>
    <w:basedOn w:val="Normal"/>
    <w:semiHidden/>
    <w:pPr>
      <w:numPr>
        <w:numId w:val="10"/>
      </w:numPr>
    </w:pPr>
  </w:style>
  <w:style w:type="paragraph" w:styleId="ListBullet5">
    <w:name w:val="List Bullet 5"/>
    <w:basedOn w:val="Normal"/>
    <w:semiHidden/>
    <w:pPr>
      <w:numPr>
        <w:numId w:val="1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2"/>
      </w:numPr>
    </w:pPr>
  </w:style>
  <w:style w:type="paragraph" w:styleId="ListNumber2">
    <w:name w:val="List Number 2"/>
    <w:basedOn w:val="Normal"/>
    <w:semiHidden/>
    <w:pPr>
      <w:numPr>
        <w:numId w:val="13"/>
      </w:numPr>
    </w:pPr>
  </w:style>
  <w:style w:type="paragraph" w:styleId="ListNumber3">
    <w:name w:val="List Number 3"/>
    <w:basedOn w:val="Normal"/>
    <w:semiHidden/>
    <w:pPr>
      <w:numPr>
        <w:numId w:val="14"/>
      </w:numPr>
    </w:pPr>
  </w:style>
  <w:style w:type="paragraph" w:styleId="ListNumber4">
    <w:name w:val="List Number 4"/>
    <w:basedOn w:val="Normal"/>
    <w:semiHidden/>
    <w:pPr>
      <w:numPr>
        <w:numId w:val="15"/>
      </w:numPr>
    </w:pPr>
  </w:style>
  <w:style w:type="paragraph" w:styleId="ListNumber5">
    <w:name w:val="List Number 5"/>
    <w:basedOn w:val="Normal"/>
    <w:semiHidden/>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styleId="ListParagraph">
    <w:name w:val="List Paragraph"/>
    <w:basedOn w:val="Normal"/>
    <w:uiPriority w:val="34"/>
    <w:qFormat/>
    <w:rsid w:val="00056C1D"/>
    <w:pPr>
      <w:ind w:left="720"/>
      <w:contextualSpacing/>
    </w:pPr>
  </w:style>
  <w:style w:type="paragraph" w:customStyle="1" w:styleId="Default">
    <w:name w:val="Default"/>
    <w:rsid w:val="00BC7DF5"/>
    <w:pPr>
      <w:autoSpaceDE w:val="0"/>
      <w:autoSpaceDN w:val="0"/>
      <w:adjustRightInd w:val="0"/>
    </w:pPr>
    <w:rPr>
      <w:rFonts w:ascii="Verdana" w:hAnsi="Verdana" w:cs="Verdana"/>
      <w:color w:val="000000"/>
      <w:sz w:val="24"/>
      <w:szCs w:val="24"/>
      <w:lang w:val="en-US"/>
    </w:rPr>
  </w:style>
  <w:style w:type="paragraph" w:customStyle="1" w:styleId="Normal1">
    <w:name w:val="Normal1"/>
    <w:rsid w:val="000E5738"/>
    <w:rPr>
      <w:rFonts w:ascii="Verdana" w:eastAsia="Verdana" w:hAnsi="Verdana" w:cs="Verdana"/>
      <w:color w:val="000000"/>
      <w:sz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cs="Verdana"/>
      <w:sz w:val="18"/>
      <w:szCs w:val="18"/>
      <w:lang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semiHidden/>
    <w:rPr>
      <w:rFonts w:eastAsia="Verdana"/>
      <w:color w:val="6D6F71"/>
      <w:sz w:val="14"/>
      <w:szCs w:val="14"/>
      <w:lang w:eastAsia="en-GB"/>
    </w:rPr>
  </w:style>
  <w:style w:type="paragraph" w:customStyle="1" w:styleId="FooterblueAgency">
    <w:name w:val="Footer blue (Agency)"/>
    <w:basedOn w:val="Normal"/>
    <w:link w:val="FooterblueAgencyCharChar"/>
    <w:semiHidden/>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Kartika" w:hAnsi="Kartik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MS Shell Dlg" w:hAnsi="MS Shell Dlg"/>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17"/>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18"/>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18"/>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18"/>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3"/>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Courier (W1)" w:hAnsi="Courier (W1)"/>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MS Shell Dlg" w:hAnsi="MS Shell Dlg"/>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1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4"/>
      </w:numPr>
    </w:pPr>
  </w:style>
  <w:style w:type="numbering" w:styleId="1ai">
    <w:name w:val="Outline List 1"/>
    <w:basedOn w:val="NoList"/>
    <w:semiHidden/>
    <w:pPr>
      <w:numPr>
        <w:numId w:val="5"/>
      </w:numPr>
    </w:pPr>
  </w:style>
  <w:style w:type="numbering" w:styleId="ArticleSection">
    <w:name w:val="Outline List 3"/>
    <w:basedOn w:val="NoList"/>
    <w:semiHidden/>
    <w:pPr>
      <w:numPr>
        <w:numId w:val="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styleId="ListBullet4">
    <w:name w:val="List Bullet 4"/>
    <w:basedOn w:val="Normal"/>
    <w:semiHidden/>
    <w:pPr>
      <w:numPr>
        <w:numId w:val="10"/>
      </w:numPr>
    </w:pPr>
  </w:style>
  <w:style w:type="paragraph" w:styleId="ListBullet5">
    <w:name w:val="List Bullet 5"/>
    <w:basedOn w:val="Normal"/>
    <w:semiHidden/>
    <w:pPr>
      <w:numPr>
        <w:numId w:val="1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2"/>
      </w:numPr>
    </w:pPr>
  </w:style>
  <w:style w:type="paragraph" w:styleId="ListNumber2">
    <w:name w:val="List Number 2"/>
    <w:basedOn w:val="Normal"/>
    <w:semiHidden/>
    <w:pPr>
      <w:numPr>
        <w:numId w:val="13"/>
      </w:numPr>
    </w:pPr>
  </w:style>
  <w:style w:type="paragraph" w:styleId="ListNumber3">
    <w:name w:val="List Number 3"/>
    <w:basedOn w:val="Normal"/>
    <w:semiHidden/>
    <w:pPr>
      <w:numPr>
        <w:numId w:val="14"/>
      </w:numPr>
    </w:pPr>
  </w:style>
  <w:style w:type="paragraph" w:styleId="ListNumber4">
    <w:name w:val="List Number 4"/>
    <w:basedOn w:val="Normal"/>
    <w:semiHidden/>
    <w:pPr>
      <w:numPr>
        <w:numId w:val="15"/>
      </w:numPr>
    </w:pPr>
  </w:style>
  <w:style w:type="paragraph" w:styleId="ListNumber5">
    <w:name w:val="List Number 5"/>
    <w:basedOn w:val="Normal"/>
    <w:semiHidden/>
    <w:pPr>
      <w:numPr>
        <w:numId w:val="1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styleId="ListParagraph">
    <w:name w:val="List Paragraph"/>
    <w:basedOn w:val="Normal"/>
    <w:uiPriority w:val="34"/>
    <w:qFormat/>
    <w:rsid w:val="00056C1D"/>
    <w:pPr>
      <w:ind w:left="720"/>
      <w:contextualSpacing/>
    </w:pPr>
  </w:style>
  <w:style w:type="paragraph" w:customStyle="1" w:styleId="Default">
    <w:name w:val="Default"/>
    <w:rsid w:val="00BC7DF5"/>
    <w:pPr>
      <w:autoSpaceDE w:val="0"/>
      <w:autoSpaceDN w:val="0"/>
      <w:adjustRightInd w:val="0"/>
    </w:pPr>
    <w:rPr>
      <w:rFonts w:ascii="Verdana" w:hAnsi="Verdana" w:cs="Verdana"/>
      <w:color w:val="000000"/>
      <w:sz w:val="24"/>
      <w:szCs w:val="24"/>
      <w:lang w:val="en-US"/>
    </w:rPr>
  </w:style>
  <w:style w:type="paragraph" w:customStyle="1" w:styleId="Normal1">
    <w:name w:val="Normal1"/>
    <w:rsid w:val="000E5738"/>
    <w:rPr>
      <w:rFonts w:ascii="Verdana" w:eastAsia="Verdana" w:hAnsi="Verdana" w:cs="Verdana"/>
      <w:color w:val="00000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1050">
      <w:bodyDiv w:val="1"/>
      <w:marLeft w:val="0"/>
      <w:marRight w:val="0"/>
      <w:marTop w:val="0"/>
      <w:marBottom w:val="0"/>
      <w:divBdr>
        <w:top w:val="none" w:sz="0" w:space="0" w:color="auto"/>
        <w:left w:val="none" w:sz="0" w:space="0" w:color="auto"/>
        <w:bottom w:val="none" w:sz="0" w:space="0" w:color="auto"/>
        <w:right w:val="none" w:sz="0" w:space="0" w:color="auto"/>
      </w:divBdr>
    </w:div>
    <w:div w:id="76292524">
      <w:bodyDiv w:val="1"/>
      <w:marLeft w:val="0"/>
      <w:marRight w:val="0"/>
      <w:marTop w:val="0"/>
      <w:marBottom w:val="0"/>
      <w:divBdr>
        <w:top w:val="none" w:sz="0" w:space="0" w:color="auto"/>
        <w:left w:val="none" w:sz="0" w:space="0" w:color="auto"/>
        <w:bottom w:val="none" w:sz="0" w:space="0" w:color="auto"/>
        <w:right w:val="none" w:sz="0" w:space="0" w:color="auto"/>
      </w:divBdr>
    </w:div>
    <w:div w:id="129594566">
      <w:bodyDiv w:val="1"/>
      <w:marLeft w:val="0"/>
      <w:marRight w:val="0"/>
      <w:marTop w:val="0"/>
      <w:marBottom w:val="0"/>
      <w:divBdr>
        <w:top w:val="none" w:sz="0" w:space="0" w:color="auto"/>
        <w:left w:val="none" w:sz="0" w:space="0" w:color="auto"/>
        <w:bottom w:val="none" w:sz="0" w:space="0" w:color="auto"/>
        <w:right w:val="none" w:sz="0" w:space="0" w:color="auto"/>
      </w:divBdr>
    </w:div>
    <w:div w:id="159279127">
      <w:bodyDiv w:val="1"/>
      <w:marLeft w:val="0"/>
      <w:marRight w:val="0"/>
      <w:marTop w:val="0"/>
      <w:marBottom w:val="0"/>
      <w:divBdr>
        <w:top w:val="none" w:sz="0" w:space="0" w:color="auto"/>
        <w:left w:val="none" w:sz="0" w:space="0" w:color="auto"/>
        <w:bottom w:val="none" w:sz="0" w:space="0" w:color="auto"/>
        <w:right w:val="none" w:sz="0" w:space="0" w:color="auto"/>
      </w:divBdr>
    </w:div>
    <w:div w:id="235477529">
      <w:bodyDiv w:val="1"/>
      <w:marLeft w:val="0"/>
      <w:marRight w:val="0"/>
      <w:marTop w:val="0"/>
      <w:marBottom w:val="0"/>
      <w:divBdr>
        <w:top w:val="none" w:sz="0" w:space="0" w:color="auto"/>
        <w:left w:val="none" w:sz="0" w:space="0" w:color="auto"/>
        <w:bottom w:val="none" w:sz="0" w:space="0" w:color="auto"/>
        <w:right w:val="none" w:sz="0" w:space="0" w:color="auto"/>
      </w:divBdr>
    </w:div>
    <w:div w:id="271323032">
      <w:bodyDiv w:val="1"/>
      <w:marLeft w:val="0"/>
      <w:marRight w:val="0"/>
      <w:marTop w:val="0"/>
      <w:marBottom w:val="0"/>
      <w:divBdr>
        <w:top w:val="none" w:sz="0" w:space="0" w:color="auto"/>
        <w:left w:val="none" w:sz="0" w:space="0" w:color="auto"/>
        <w:bottom w:val="none" w:sz="0" w:space="0" w:color="auto"/>
        <w:right w:val="none" w:sz="0" w:space="0" w:color="auto"/>
      </w:divBdr>
    </w:div>
    <w:div w:id="469515758">
      <w:bodyDiv w:val="1"/>
      <w:marLeft w:val="0"/>
      <w:marRight w:val="0"/>
      <w:marTop w:val="0"/>
      <w:marBottom w:val="0"/>
      <w:divBdr>
        <w:top w:val="none" w:sz="0" w:space="0" w:color="auto"/>
        <w:left w:val="none" w:sz="0" w:space="0" w:color="auto"/>
        <w:bottom w:val="none" w:sz="0" w:space="0" w:color="auto"/>
        <w:right w:val="none" w:sz="0" w:space="0" w:color="auto"/>
      </w:divBdr>
    </w:div>
    <w:div w:id="849950667">
      <w:bodyDiv w:val="1"/>
      <w:marLeft w:val="0"/>
      <w:marRight w:val="0"/>
      <w:marTop w:val="0"/>
      <w:marBottom w:val="0"/>
      <w:divBdr>
        <w:top w:val="none" w:sz="0" w:space="0" w:color="auto"/>
        <w:left w:val="none" w:sz="0" w:space="0" w:color="auto"/>
        <w:bottom w:val="none" w:sz="0" w:space="0" w:color="auto"/>
        <w:right w:val="none" w:sz="0" w:space="0" w:color="auto"/>
      </w:divBdr>
    </w:div>
    <w:div w:id="1097867861">
      <w:bodyDiv w:val="1"/>
      <w:marLeft w:val="0"/>
      <w:marRight w:val="0"/>
      <w:marTop w:val="0"/>
      <w:marBottom w:val="0"/>
      <w:divBdr>
        <w:top w:val="none" w:sz="0" w:space="0" w:color="auto"/>
        <w:left w:val="none" w:sz="0" w:space="0" w:color="auto"/>
        <w:bottom w:val="none" w:sz="0" w:space="0" w:color="auto"/>
        <w:right w:val="none" w:sz="0" w:space="0" w:color="auto"/>
      </w:divBdr>
    </w:div>
    <w:div w:id="1137845332">
      <w:bodyDiv w:val="1"/>
      <w:marLeft w:val="0"/>
      <w:marRight w:val="0"/>
      <w:marTop w:val="0"/>
      <w:marBottom w:val="0"/>
      <w:divBdr>
        <w:top w:val="none" w:sz="0" w:space="0" w:color="auto"/>
        <w:left w:val="none" w:sz="0" w:space="0" w:color="auto"/>
        <w:bottom w:val="none" w:sz="0" w:space="0" w:color="auto"/>
        <w:right w:val="none" w:sz="0" w:space="0" w:color="auto"/>
      </w:divBdr>
    </w:div>
    <w:div w:id="1150361832">
      <w:bodyDiv w:val="1"/>
      <w:marLeft w:val="0"/>
      <w:marRight w:val="0"/>
      <w:marTop w:val="0"/>
      <w:marBottom w:val="0"/>
      <w:divBdr>
        <w:top w:val="none" w:sz="0" w:space="0" w:color="auto"/>
        <w:left w:val="none" w:sz="0" w:space="0" w:color="auto"/>
        <w:bottom w:val="none" w:sz="0" w:space="0" w:color="auto"/>
        <w:right w:val="none" w:sz="0" w:space="0" w:color="auto"/>
      </w:divBdr>
    </w:div>
    <w:div w:id="1239288287">
      <w:bodyDiv w:val="1"/>
      <w:marLeft w:val="0"/>
      <w:marRight w:val="0"/>
      <w:marTop w:val="0"/>
      <w:marBottom w:val="0"/>
      <w:divBdr>
        <w:top w:val="none" w:sz="0" w:space="0" w:color="auto"/>
        <w:left w:val="none" w:sz="0" w:space="0" w:color="auto"/>
        <w:bottom w:val="none" w:sz="0" w:space="0" w:color="auto"/>
        <w:right w:val="none" w:sz="0" w:space="0" w:color="auto"/>
      </w:divBdr>
    </w:div>
    <w:div w:id="1295137285">
      <w:bodyDiv w:val="1"/>
      <w:marLeft w:val="0"/>
      <w:marRight w:val="0"/>
      <w:marTop w:val="0"/>
      <w:marBottom w:val="0"/>
      <w:divBdr>
        <w:top w:val="none" w:sz="0" w:space="0" w:color="auto"/>
        <w:left w:val="none" w:sz="0" w:space="0" w:color="auto"/>
        <w:bottom w:val="none" w:sz="0" w:space="0" w:color="auto"/>
        <w:right w:val="none" w:sz="0" w:space="0" w:color="auto"/>
      </w:divBdr>
    </w:div>
    <w:div w:id="1460219933">
      <w:bodyDiv w:val="1"/>
      <w:marLeft w:val="0"/>
      <w:marRight w:val="0"/>
      <w:marTop w:val="0"/>
      <w:marBottom w:val="0"/>
      <w:divBdr>
        <w:top w:val="none" w:sz="0" w:space="0" w:color="auto"/>
        <w:left w:val="none" w:sz="0" w:space="0" w:color="auto"/>
        <w:bottom w:val="none" w:sz="0" w:space="0" w:color="auto"/>
        <w:right w:val="none" w:sz="0" w:space="0" w:color="auto"/>
      </w:divBdr>
    </w:div>
    <w:div w:id="1475098445">
      <w:bodyDiv w:val="1"/>
      <w:marLeft w:val="0"/>
      <w:marRight w:val="0"/>
      <w:marTop w:val="0"/>
      <w:marBottom w:val="0"/>
      <w:divBdr>
        <w:top w:val="none" w:sz="0" w:space="0" w:color="auto"/>
        <w:left w:val="none" w:sz="0" w:space="0" w:color="auto"/>
        <w:bottom w:val="none" w:sz="0" w:space="0" w:color="auto"/>
        <w:right w:val="none" w:sz="0" w:space="0" w:color="auto"/>
      </w:divBdr>
    </w:div>
    <w:div w:id="1606886972">
      <w:bodyDiv w:val="1"/>
      <w:marLeft w:val="0"/>
      <w:marRight w:val="0"/>
      <w:marTop w:val="0"/>
      <w:marBottom w:val="0"/>
      <w:divBdr>
        <w:top w:val="none" w:sz="0" w:space="0" w:color="auto"/>
        <w:left w:val="none" w:sz="0" w:space="0" w:color="auto"/>
        <w:bottom w:val="none" w:sz="0" w:space="0" w:color="auto"/>
        <w:right w:val="none" w:sz="0" w:space="0" w:color="auto"/>
      </w:divBdr>
    </w:div>
    <w:div w:id="1651012682">
      <w:bodyDiv w:val="1"/>
      <w:marLeft w:val="0"/>
      <w:marRight w:val="0"/>
      <w:marTop w:val="0"/>
      <w:marBottom w:val="0"/>
      <w:divBdr>
        <w:top w:val="none" w:sz="0" w:space="0" w:color="auto"/>
        <w:left w:val="none" w:sz="0" w:space="0" w:color="auto"/>
        <w:bottom w:val="none" w:sz="0" w:space="0" w:color="auto"/>
        <w:right w:val="none" w:sz="0" w:space="0" w:color="auto"/>
      </w:divBdr>
    </w:div>
    <w:div w:id="1742169454">
      <w:bodyDiv w:val="1"/>
      <w:marLeft w:val="0"/>
      <w:marRight w:val="0"/>
      <w:marTop w:val="0"/>
      <w:marBottom w:val="0"/>
      <w:divBdr>
        <w:top w:val="none" w:sz="0" w:space="0" w:color="auto"/>
        <w:left w:val="none" w:sz="0" w:space="0" w:color="auto"/>
        <w:bottom w:val="none" w:sz="0" w:space="0" w:color="auto"/>
        <w:right w:val="none" w:sz="0" w:space="0" w:color="auto"/>
      </w:divBdr>
    </w:div>
    <w:div w:id="1786580181">
      <w:bodyDiv w:val="1"/>
      <w:marLeft w:val="0"/>
      <w:marRight w:val="0"/>
      <w:marTop w:val="0"/>
      <w:marBottom w:val="0"/>
      <w:divBdr>
        <w:top w:val="none" w:sz="0" w:space="0" w:color="auto"/>
        <w:left w:val="none" w:sz="0" w:space="0" w:color="auto"/>
        <w:bottom w:val="none" w:sz="0" w:space="0" w:color="auto"/>
        <w:right w:val="none" w:sz="0" w:space="0" w:color="auto"/>
      </w:divBdr>
    </w:div>
    <w:div w:id="1800686462">
      <w:bodyDiv w:val="1"/>
      <w:marLeft w:val="0"/>
      <w:marRight w:val="0"/>
      <w:marTop w:val="0"/>
      <w:marBottom w:val="0"/>
      <w:divBdr>
        <w:top w:val="none" w:sz="0" w:space="0" w:color="auto"/>
        <w:left w:val="none" w:sz="0" w:space="0" w:color="auto"/>
        <w:bottom w:val="none" w:sz="0" w:space="0" w:color="auto"/>
        <w:right w:val="none" w:sz="0" w:space="0" w:color="auto"/>
      </w:divBdr>
    </w:div>
    <w:div w:id="1835145506">
      <w:bodyDiv w:val="1"/>
      <w:marLeft w:val="0"/>
      <w:marRight w:val="0"/>
      <w:marTop w:val="0"/>
      <w:marBottom w:val="0"/>
      <w:divBdr>
        <w:top w:val="none" w:sz="0" w:space="0" w:color="auto"/>
        <w:left w:val="none" w:sz="0" w:space="0" w:color="auto"/>
        <w:bottom w:val="none" w:sz="0" w:space="0" w:color="auto"/>
        <w:right w:val="none" w:sz="0" w:space="0" w:color="auto"/>
      </w:divBdr>
    </w:div>
    <w:div w:id="1911962317">
      <w:bodyDiv w:val="1"/>
      <w:marLeft w:val="0"/>
      <w:marRight w:val="0"/>
      <w:marTop w:val="0"/>
      <w:marBottom w:val="0"/>
      <w:divBdr>
        <w:top w:val="none" w:sz="0" w:space="0" w:color="auto"/>
        <w:left w:val="none" w:sz="0" w:space="0" w:color="auto"/>
        <w:bottom w:val="none" w:sz="0" w:space="0" w:color="auto"/>
        <w:right w:val="none" w:sz="0" w:space="0" w:color="auto"/>
      </w:divBdr>
    </w:div>
    <w:div w:id="2019426866">
      <w:bodyDiv w:val="1"/>
      <w:marLeft w:val="0"/>
      <w:marRight w:val="0"/>
      <w:marTop w:val="0"/>
      <w:marBottom w:val="0"/>
      <w:divBdr>
        <w:top w:val="none" w:sz="0" w:space="0" w:color="auto"/>
        <w:left w:val="none" w:sz="0" w:space="0" w:color="auto"/>
        <w:bottom w:val="none" w:sz="0" w:space="0" w:color="auto"/>
        <w:right w:val="none" w:sz="0" w:space="0" w:color="auto"/>
      </w:divBdr>
    </w:div>
    <w:div w:id="2075004037">
      <w:bodyDiv w:val="1"/>
      <w:marLeft w:val="0"/>
      <w:marRight w:val="0"/>
      <w:marTop w:val="0"/>
      <w:marBottom w:val="0"/>
      <w:divBdr>
        <w:top w:val="none" w:sz="0" w:space="0" w:color="auto"/>
        <w:left w:val="none" w:sz="0" w:space="0" w:color="auto"/>
        <w:bottom w:val="none" w:sz="0" w:space="0" w:color="auto"/>
        <w:right w:val="none" w:sz="0" w:space="0" w:color="auto"/>
      </w:divBdr>
    </w:div>
    <w:div w:id="210279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styles" Target="styles.xml"/><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hyperlink" Target="http://www.ema.europa.eu/ema/index.jsp?curl=pages/home/general/general_content_000516.jsp&amp;mid" TargetMode="External"/><Relationship Id="rId17" Type="http://schemas.openxmlformats.org/officeDocument/2006/relationships/hyperlink" Target="http://www.ema.europa.eu/docs/en_GB/document_library/Other/2012/02/WC500123144.pdf" TargetMode="External"/><Relationship Id="rId18" Type="http://schemas.openxmlformats.org/officeDocument/2006/relationships/hyperlink" Target="http://www.ema.europa.eu/docs/en_GB/document_library/Other/2012/02/WC500123145.pdf"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Expiration" staticId="0x0101|-2126682137" UniqueId="ab3b55e9-aae5-4563-b264-599d7d4a4f77">
      <p:Name>Retention</p:Name>
      <p:Description>Automatic scheduling of content for processing, and performing a retention action on content that has reached its due date.</p:Description>
      <p:CustomData>
        <Schedules nextStageId="2">
          <Schedule type="Default">
            <stages>
              <data stageId="1">
                <formula id="Bayer SharePoint Retention Policy 2.1"/>
                <action type="action" id="Microsoft.Office.RecordsManagement.PolicyFeatures.Expiration.Action.MoveToRecycleBin"/>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ink_x0020_to_x0020_Training_x0020_Material xmlns="f99f32c2-34b1-4c3b-88e2-a3f612e32754" xsi:nil="true"/>
    <TaxCatchAll xmlns="e941b624-166c-4987-9ed6-d539972f16a8">
      <Value>3</Value>
    </TaxCatchAll>
    <gbbd9102adcd43839cd73b51972a464c xmlns="e941b624-166c-4987-9ed6-d539972f16a8">
      <Terms xmlns="http://schemas.microsoft.com/office/infopath/2007/PartnerControls">
        <TermInfo xmlns="http://schemas.microsoft.com/office/infopath/2007/PartnerControls">
          <TermName xmlns="http://schemas.microsoft.com/office/infopath/2007/PartnerControls">Short-Term</TermName>
          <TermId xmlns="http://schemas.microsoft.com/office/infopath/2007/PartnerControls">6d967203-8346-4b9c-90f8-b3828a3fa508</TermId>
        </TermInfo>
      </Terms>
    </gbbd9102adcd43839cd73b51972a464c>
    <_dlc_ExpireDate xmlns="http://schemas.microsoft.com/sharepoint/v3">2014-03-26T07:20:25+00:00</_dlc_ExpireDate>
    <_dlc_ExpireDateSave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8F32805E183449A4AF2120C77F93DC" ma:contentTypeVersion="22" ma:contentTypeDescription="Create a new document." ma:contentTypeScope="" ma:versionID="13939c2588c993a20f7fd66081a6bf7d">
  <xsd:schema xmlns:xsd="http://www.w3.org/2001/XMLSchema" xmlns:xs="http://www.w3.org/2001/XMLSchema" xmlns:p="http://schemas.microsoft.com/office/2006/metadata/properties" xmlns:ns1="http://schemas.microsoft.com/sharepoint/v3" xmlns:ns2="f99f32c2-34b1-4c3b-88e2-a3f612e32754" xmlns:ns3="e941b624-166c-4987-9ed6-d539972f16a8" targetNamespace="http://schemas.microsoft.com/office/2006/metadata/properties" ma:root="true" ma:fieldsID="80a370775e062fa85ee48b34df4a37fd" ns1:_="" ns2:_="" ns3:_="">
    <xsd:import namespace="http://schemas.microsoft.com/sharepoint/v3"/>
    <xsd:import namespace="f99f32c2-34b1-4c3b-88e2-a3f612e32754"/>
    <xsd:import namespace="e941b624-166c-4987-9ed6-d539972f16a8"/>
    <xsd:element name="properties">
      <xsd:complexType>
        <xsd:sequence>
          <xsd:element name="documentManagement">
            <xsd:complexType>
              <xsd:all>
                <xsd:element ref="ns1:_dlc_Exempt" minOccurs="0"/>
                <xsd:element ref="ns1:_dlc_ExpireDateSaved" minOccurs="0"/>
                <xsd:element ref="ns1:_dlc_ExpireDate" minOccurs="0"/>
                <xsd:element ref="ns2:Link_x0020_to_x0020_Training_x0020_Material" minOccurs="0"/>
                <xsd:element ref="ns3:TaxCatchAll" minOccurs="0"/>
                <xsd:element ref="ns3:TaxCatchAllLabel" minOccurs="0"/>
                <xsd:element ref="ns3:gbbd9102adcd43839cd73b51972a46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9f32c2-34b1-4c3b-88e2-a3f612e32754" elementFormDefault="qualified">
    <xsd:import namespace="http://schemas.microsoft.com/office/2006/documentManagement/types"/>
    <xsd:import namespace="http://schemas.microsoft.com/office/infopath/2007/PartnerControls"/>
    <xsd:element name="Link_x0020_to_x0020_Training_x0020_Material" ma:index="11" nillable="true" ma:displayName="Link to Training Material" ma:internalName="Link_x0020_to_x0020_Training_x0020_Materi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41b624-166c-4987-9ed6-d539972f16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ad73cd-b558-4843-a0e6-1bfb184870ea}" ma:internalName="TaxCatchAll" ma:showField="CatchAllData" ma:web="51042502-ec0f-4ba3-95d1-c1e044d078f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3ad73cd-b558-4843-a0e6-1bfb184870ea}" ma:internalName="TaxCatchAllLabel" ma:readOnly="true" ma:showField="CatchAllDataLabel" ma:web="51042502-ec0f-4ba3-95d1-c1e044d078f3">
      <xsd:complexType>
        <xsd:complexContent>
          <xsd:extension base="dms:MultiChoiceLookup">
            <xsd:sequence>
              <xsd:element name="Value" type="dms:Lookup" maxOccurs="unbounded" minOccurs="0" nillable="true"/>
            </xsd:sequence>
          </xsd:extension>
        </xsd:complexContent>
      </xsd:complexType>
    </xsd:element>
    <xsd:element name="gbbd9102adcd43839cd73b51972a464c" ma:index="14" nillable="true" ma:taxonomy="true" ma:internalName="gbbd9102adcd43839cd73b51972a464c" ma:taxonomyFieldName="DataClassBayerRetention" ma:displayName="Data Class" ma:default="3;#Short-Term|6d967203-8346-4b9c-90f8-b3828a3fa508" ma:fieldId="{0bbd9102-adcd-4383-9cd7-3b51972a464c}" ma:sspId="7c593367-9bb5-4764-945e-f6a26d2260c4" ma:termSetId="a305235b-fecf-45b3-8300-71c0f432cbc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c593367-9bb5-4764-945e-f6a26d2260c4" ContentTypeId="0x0101" PreviousValue="tru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6870-F038-41EC-A039-69FCA77A0ABA}">
  <ds:schemaRefs>
    <ds:schemaRef ds:uri="http://schemas.microsoft.com/sharepoint/v3/contenttype/forms"/>
  </ds:schemaRefs>
</ds:datastoreItem>
</file>

<file path=customXml/itemProps2.xml><?xml version="1.0" encoding="utf-8"?>
<ds:datastoreItem xmlns:ds="http://schemas.openxmlformats.org/officeDocument/2006/customXml" ds:itemID="{C957EF14-8700-40A0-BADF-DFF555FF5F5B}">
  <ds:schemaRefs>
    <ds:schemaRef ds:uri="office.server.policy"/>
  </ds:schemaRefs>
</ds:datastoreItem>
</file>

<file path=customXml/itemProps3.xml><?xml version="1.0" encoding="utf-8"?>
<ds:datastoreItem xmlns:ds="http://schemas.openxmlformats.org/officeDocument/2006/customXml" ds:itemID="{0AE97972-E04A-4608-978E-93FD82650827}">
  <ds:schemaRefs>
    <ds:schemaRef ds:uri="http://schemas.microsoft.com/office/2006/metadata/properties"/>
    <ds:schemaRef ds:uri="http://schemas.microsoft.com/office/infopath/2007/PartnerControls"/>
    <ds:schemaRef ds:uri="f99f32c2-34b1-4c3b-88e2-a3f612e32754"/>
    <ds:schemaRef ds:uri="e941b624-166c-4987-9ed6-d539972f16a8"/>
    <ds:schemaRef ds:uri="http://schemas.microsoft.com/sharepoint/v3"/>
  </ds:schemaRefs>
</ds:datastoreItem>
</file>

<file path=customXml/itemProps4.xml><?xml version="1.0" encoding="utf-8"?>
<ds:datastoreItem xmlns:ds="http://schemas.openxmlformats.org/officeDocument/2006/customXml" ds:itemID="{785FFC72-86CE-4DBA-B5EC-30BDE171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9f32c2-34b1-4c3b-88e2-a3f612e32754"/>
    <ds:schemaRef ds:uri="e941b624-166c-4987-9ed6-d539972f1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E59B1E-B34A-473F-8043-5B325BC6018D}">
  <ds:schemaRefs>
    <ds:schemaRef ds:uri="Microsoft.SharePoint.Taxonomy.ContentTypeSync"/>
  </ds:schemaRefs>
</ds:datastoreItem>
</file>

<file path=customXml/itemProps6.xml><?xml version="1.0" encoding="utf-8"?>
<ds:datastoreItem xmlns:ds="http://schemas.openxmlformats.org/officeDocument/2006/customXml" ds:itemID="{6E2EC2A3-0BD0-49C4-B932-24CA3594EA63}">
  <ds:schemaRefs>
    <ds:schemaRef ds:uri="http://schemas.microsoft.com/sharepoint/events"/>
  </ds:schemaRefs>
</ds:datastoreItem>
</file>

<file path=customXml/itemProps7.xml><?xml version="1.0" encoding="utf-8"?>
<ds:datastoreItem xmlns:ds="http://schemas.openxmlformats.org/officeDocument/2006/customXml" ds:itemID="{16CCBE16-458D-43A5-B05F-0601840B1D54}">
  <ds:schemaRefs>
    <ds:schemaRef ds:uri="http://schemas.microsoft.com/office/2006/metadata/longProperties"/>
  </ds:schemaRefs>
</ds:datastoreItem>
</file>

<file path=customXml/itemProps8.xml><?xml version="1.0" encoding="utf-8"?>
<ds:datastoreItem xmlns:ds="http://schemas.openxmlformats.org/officeDocument/2006/customXml" ds:itemID="{F6A47631-2779-6A4D-9262-4F718399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0</TotalTime>
  <Pages>15</Pages>
  <Words>3595</Words>
  <Characters>20492</Characters>
  <Application>Microsoft Macintosh Word</Application>
  <DocSecurity>8</DocSecurity>
  <Lines>170</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Submission of comments - GVP Module II PSMF</vt:lpstr>
      <vt:lpstr>Submission of comments - GVP Module II PSMF</vt:lpstr>
    </vt:vector>
  </TitlesOfParts>
  <Company>European Medicines Agency</Company>
  <LinksUpToDate>false</LinksUpToDate>
  <CharactersWithSpaces>24039</CharactersWithSpaces>
  <SharedDoc>false</SharedDoc>
  <HLinks>
    <vt:vector size="18" baseType="variant">
      <vt:variant>
        <vt:i4>3735671</vt:i4>
      </vt:variant>
      <vt:variant>
        <vt:i4>6</vt:i4>
      </vt:variant>
      <vt:variant>
        <vt:i4>0</vt:i4>
      </vt:variant>
      <vt:variant>
        <vt:i4>5</vt:i4>
      </vt:variant>
      <vt:variant>
        <vt:lpwstr>http://www.ema.europa.eu/docs/en_GB/document_library/Other/2012/02/WC500123145.pdf</vt:lpwstr>
      </vt:variant>
      <vt:variant>
        <vt:lpwstr/>
      </vt:variant>
      <vt:variant>
        <vt:i4>3670135</vt:i4>
      </vt:variant>
      <vt:variant>
        <vt:i4>3</vt:i4>
      </vt:variant>
      <vt:variant>
        <vt:i4>0</vt:i4>
      </vt:variant>
      <vt:variant>
        <vt:i4>5</vt:i4>
      </vt:variant>
      <vt:variant>
        <vt:lpwstr>http://www.ema.europa.eu/docs/en_GB/document_library/Other/2012/02/WC500123144.pdf</vt:lpwstr>
      </vt:variant>
      <vt:variant>
        <vt:lpwstr/>
      </vt:variant>
      <vt:variant>
        <vt:i4>4849728</vt:i4>
      </vt:variant>
      <vt:variant>
        <vt:i4>0</vt:i4>
      </vt:variant>
      <vt:variant>
        <vt:i4>0</vt:i4>
      </vt:variant>
      <vt:variant>
        <vt:i4>5</vt:i4>
      </vt:variant>
      <vt:variant>
        <vt:lpwstr>http://www.ema.europa.eu/ema/index.jsp?curl=pages/home/general/general_content_000516.jsp&amp;mid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comments - GVP Module II PSMF</dc:title>
  <dc:creator>European Medicines Agency</dc:creator>
  <dc:description>Template developed for European Medicines Agency by Fiona Lewis and Vanessa Crookes December 2009</dc:description>
  <cp:lastModifiedBy>Efpia</cp:lastModifiedBy>
  <cp:revision>2</cp:revision>
  <cp:lastPrinted>2014-07-22T13:51:00Z</cp:lastPrinted>
  <dcterms:created xsi:type="dcterms:W3CDTF">2015-10-19T13:35:00Z</dcterms:created>
  <dcterms:modified xsi:type="dcterms:W3CDTF">2015-10-19T13:35:00Z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Owner">
    <vt:lpwstr>Schumacher Dunja</vt:lpwstr>
  </property>
  <property fmtid="{D5CDD505-2E9C-101B-9397-08002B2CF9AE}" pid="24" name="DM_Language">
    <vt:lpwstr/>
  </property>
  <property fmtid="{D5CDD505-2E9C-101B-9397-08002B2CF9AE}" pid="25" name="DM_Title">
    <vt:lpwstr/>
  </property>
  <property fmtid="{D5CDD505-2E9C-101B-9397-08002B2CF9AE}" pid="26" name="DM_Subject">
    <vt:lpwstr>Comments-EMA/293958/2005</vt:lpwstr>
  </property>
  <property fmtid="{D5CDD505-2E9C-101B-9397-08002B2CF9AE}" pid="27" name="DM_Keywords">
    <vt:lpwstr/>
  </property>
  <property fmtid="{D5CDD505-2E9C-101B-9397-08002B2CF9AE}" pid="28" name="DM_Authors">
    <vt:lpwstr/>
  </property>
  <property fmtid="{D5CDD505-2E9C-101B-9397-08002B2CF9AE}" pid="29" name="DM_Status">
    <vt:lpwstr/>
  </property>
  <property fmtid="{D5CDD505-2E9C-101B-9397-08002B2CF9AE}" pid="30" name="DM_Version">
    <vt:lpwstr>CURRENT,2.1</vt:lpwstr>
  </property>
  <property fmtid="{D5CDD505-2E9C-101B-9397-08002B2CF9AE}" pid="31" name="DM_Name">
    <vt:lpwstr>Submission of comments - GVP Module II PSMF</vt:lpwstr>
  </property>
  <property fmtid="{D5CDD505-2E9C-101B-9397-08002B2CF9AE}" pid="32" name="DM_Creation_Date">
    <vt:lpwstr>20/02/2012 17:04:05</vt:lpwstr>
  </property>
  <property fmtid="{D5CDD505-2E9C-101B-9397-08002B2CF9AE}" pid="33" name="DM_Modify_Date">
    <vt:lpwstr>20/02/2012 17:04:05</vt:lpwstr>
  </property>
  <property fmtid="{D5CDD505-2E9C-101B-9397-08002B2CF9AE}" pid="34" name="DM_Creator_Name">
    <vt:lpwstr>Bahri Priya</vt:lpwstr>
  </property>
  <property fmtid="{D5CDD505-2E9C-101B-9397-08002B2CF9AE}" pid="35" name="DM_Modifier_Name">
    <vt:lpwstr>Bahri Priya</vt:lpwstr>
  </property>
  <property fmtid="{D5CDD505-2E9C-101B-9397-08002B2CF9AE}" pid="36" name="DM_Type">
    <vt:lpwstr>emea_document</vt:lpwstr>
  </property>
  <property fmtid="{D5CDD505-2E9C-101B-9397-08002B2CF9AE}" pid="37" name="DM_DocRefId">
    <vt:lpwstr>EMA/120695/2012</vt:lpwstr>
  </property>
  <property fmtid="{D5CDD505-2E9C-101B-9397-08002B2CF9AE}" pid="38" name="DM_Category">
    <vt:lpwstr>Comments</vt:lpwstr>
  </property>
  <property fmtid="{D5CDD505-2E9C-101B-9397-08002B2CF9AE}" pid="39" name="DM_Path">
    <vt:lpwstr>/13. Projects/00305 - Implementation of the new legislative proposal on pharmacovigilance/GVP/General Documents/Comments forms for public consultation</vt:lpwstr>
  </property>
  <property fmtid="{D5CDD505-2E9C-101B-9397-08002B2CF9AE}" pid="40" name="DM_emea_doc_ref_id">
    <vt:lpwstr>EMA/120695/2012</vt:lpwstr>
  </property>
  <property fmtid="{D5CDD505-2E9C-101B-9397-08002B2CF9AE}" pid="41" name="DM_Modifer_Name">
    <vt:lpwstr>Bahri Priya</vt:lpwstr>
  </property>
  <property fmtid="{D5CDD505-2E9C-101B-9397-08002B2CF9AE}" pid="42" name="DM_Modified_Date">
    <vt:lpwstr>20/02/2012 17:04:05</vt:lpwstr>
  </property>
  <property fmtid="{D5CDD505-2E9C-101B-9397-08002B2CF9AE}" pid="43" name="Data ClassTaxHTField0">
    <vt:lpwstr>Default|b9e53627-c102-4281-ada9-d68d8a49e187</vt:lpwstr>
  </property>
  <property fmtid="{D5CDD505-2E9C-101B-9397-08002B2CF9AE}" pid="44" name="TaxCatchAll">
    <vt:lpwstr>1;#Default</vt:lpwstr>
  </property>
  <property fmtid="{D5CDD505-2E9C-101B-9397-08002B2CF9AE}" pid="45" name="_dlc_ExpireDate">
    <vt:lpwstr>2024-02-21T15:58:02Z</vt:lpwstr>
  </property>
  <property fmtid="{D5CDD505-2E9C-101B-9397-08002B2CF9AE}" pid="46" name="ItemRetentionFormula">
    <vt:lpwstr>&lt;formula id="Bayer SharePoint Retention Policy 2.1" /&gt;</vt:lpwstr>
  </property>
  <property fmtid="{D5CDD505-2E9C-101B-9397-08002B2CF9AE}" pid="47" name="_dlc_policyId">
    <vt:lpwstr>0x0101|-2126682137</vt:lpwstr>
  </property>
  <property fmtid="{D5CDD505-2E9C-101B-9397-08002B2CF9AE}" pid="48" name="ContentTypeId">
    <vt:lpwstr>0x0101009E8F32805E183449A4AF2120C77F93DC</vt:lpwstr>
  </property>
  <property fmtid="{D5CDD505-2E9C-101B-9397-08002B2CF9AE}" pid="49" name="DataClassBayerRetention">
    <vt:lpwstr>3;#Short-Term|6d967203-8346-4b9c-90f8-b3828a3fa508</vt:lpwstr>
  </property>
  <property fmtid="{D5CDD505-2E9C-101B-9397-08002B2CF9AE}" pid="50" name="_NewReviewCycle">
    <vt:lpwstr/>
  </property>
  <property fmtid="{D5CDD505-2E9C-101B-9397-08002B2CF9AE}" pid="51" name="_AdHocReviewCycleID">
    <vt:i4>1413771382</vt:i4>
  </property>
  <property fmtid="{D5CDD505-2E9C-101B-9397-08002B2CF9AE}" pid="52" name="_EmailSubject">
    <vt:lpwstr>FINAL VERSION  : Call for Comments by 11th July 2014: Draft detailed guide (EMA) on monitoring of medicinal literature</vt:lpwstr>
  </property>
  <property fmtid="{D5CDD505-2E9C-101B-9397-08002B2CF9AE}" pid="53" name="_AuthorEmail">
    <vt:lpwstr>margaret.walters@merck.com</vt:lpwstr>
  </property>
  <property fmtid="{D5CDD505-2E9C-101B-9397-08002B2CF9AE}" pid="54" name="_AuthorEmailDisplayName">
    <vt:lpwstr>Walters, Margaret</vt:lpwstr>
  </property>
</Properties>
</file>