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48AA1" w14:textId="22E17840" w:rsidR="005D6621" w:rsidRDefault="00F53440">
      <w:pPr>
        <w:pStyle w:val="RefAgency"/>
        <w:tabs>
          <w:tab w:val="left" w:pos="1277"/>
        </w:tabs>
      </w:pPr>
      <w:bookmarkStart w:id="0" w:name="_GoBack"/>
      <w:bookmarkEnd w:id="0"/>
      <w:r>
        <w:t>30.06.17</w:t>
      </w:r>
    </w:p>
    <w:p w14:paraId="55B6FCA2" w14:textId="77777777" w:rsidR="005D6621" w:rsidRDefault="005D6621">
      <w:pPr>
        <w:pStyle w:val="RefAgency"/>
        <w:tabs>
          <w:tab w:val="left" w:pos="1277"/>
        </w:tabs>
      </w:pPr>
    </w:p>
    <w:p w14:paraId="6806AAE4" w14:textId="77777777" w:rsidR="005D6621" w:rsidRDefault="005D6621">
      <w:pPr>
        <w:pStyle w:val="RefAgency"/>
        <w:tabs>
          <w:tab w:val="left" w:pos="1277"/>
        </w:tabs>
      </w:pPr>
    </w:p>
    <w:p w14:paraId="62D6D713" w14:textId="77777777" w:rsidR="005D6621" w:rsidRDefault="005D6621">
      <w:pPr>
        <w:pStyle w:val="DoctitleAgency"/>
      </w:pPr>
      <w:bookmarkStart w:id="1" w:name="Head"/>
      <w:bookmarkEnd w:id="1"/>
      <w:r>
        <w:t>Submission of comments on '</w:t>
      </w:r>
      <w:r w:rsidR="00AD778A">
        <w:t>Concep</w:t>
      </w:r>
      <w:r w:rsidR="00CB5354">
        <w:t>t paper on revision of the guideline on the requirements for clinical documentation for orally inhaled products (OIP) including the requirements for demonstration of therapeutic equivalence between two inhaled products for use in the treatment of asthma and ch</w:t>
      </w:r>
      <w:r w:rsidR="00976C07">
        <w:t>r</w:t>
      </w:r>
      <w:r w:rsidR="00CB5354">
        <w:t>onic obstructive pulmonary disease (COPD) in adults and for the treatment of asthma in children and adolescents</w:t>
      </w:r>
      <w:r w:rsidR="007A763C">
        <w:t>’</w:t>
      </w:r>
      <w:r w:rsidR="00A57935">
        <w:t xml:space="preserve"> </w:t>
      </w:r>
      <w:r w:rsidR="001F1B58">
        <w:t>–</w:t>
      </w:r>
      <w:r w:rsidR="00A57935">
        <w:t xml:space="preserve"> </w:t>
      </w:r>
      <w:r w:rsidR="00AD778A">
        <w:rPr>
          <w:szCs w:val="17"/>
        </w:rPr>
        <w:t>EMA/CHMP/</w:t>
      </w:r>
      <w:r w:rsidR="00CB5354">
        <w:rPr>
          <w:szCs w:val="17"/>
        </w:rPr>
        <w:t>267194/2016</w:t>
      </w:r>
    </w:p>
    <w:p w14:paraId="6705E378" w14:textId="77777777" w:rsidR="005D6621" w:rsidRDefault="005D6621">
      <w:pPr>
        <w:pStyle w:val="DocsubtitleAgency"/>
      </w:pPr>
    </w:p>
    <w:p w14:paraId="67F45E30"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rsidRPr="00AC7985" w14:paraId="1A138B1E" w14:textId="77777777">
        <w:trPr>
          <w:tblHeader/>
        </w:trPr>
        <w:tc>
          <w:tcPr>
            <w:tcW w:w="5000" w:type="pct"/>
            <w:tcBorders>
              <w:top w:val="nil"/>
              <w:left w:val="nil"/>
              <w:bottom w:val="nil"/>
              <w:right w:val="nil"/>
            </w:tcBorders>
            <w:shd w:val="clear" w:color="auto" w:fill="003399"/>
          </w:tcPr>
          <w:p w14:paraId="24CE5159" w14:textId="77777777" w:rsidR="00AC7985" w:rsidRPr="00AC7985" w:rsidRDefault="002D2C36">
            <w:pPr>
              <w:pStyle w:val="TableheadingrowsAgency"/>
              <w:rPr>
                <w:rFonts w:cs="Arial"/>
                <w:noProof/>
                <w:color w:val="002060"/>
                <w:sz w:val="20"/>
                <w:szCs w:val="20"/>
                <w:lang w:val="it-IT"/>
              </w:rPr>
            </w:pPr>
            <w:r>
              <w:rPr>
                <w:b w:val="0"/>
              </w:rPr>
              <w:t>Name of organisation or individual</w:t>
            </w:r>
          </w:p>
        </w:tc>
      </w:tr>
      <w:tr w:rsidR="005D6621" w:rsidRPr="00226BD8" w14:paraId="19CEC0C6" w14:textId="77777777">
        <w:tc>
          <w:tcPr>
            <w:tcW w:w="5000" w:type="pct"/>
            <w:shd w:val="clear" w:color="auto" w:fill="E1E3F2"/>
          </w:tcPr>
          <w:p w14:paraId="7ACCB1D2" w14:textId="77777777" w:rsidR="005D6621" w:rsidRPr="00AC7985" w:rsidRDefault="004A383E" w:rsidP="00CB5354">
            <w:pPr>
              <w:pStyle w:val="TabletextrowsAgency"/>
              <w:rPr>
                <w:lang w:val="it-IT"/>
              </w:rPr>
            </w:pPr>
            <w:r w:rsidRPr="00AC7985">
              <w:rPr>
                <w:lang w:val="it-IT"/>
              </w:rPr>
              <w:t xml:space="preserve">EFPIA </w:t>
            </w:r>
            <w:r w:rsidR="00851CB2" w:rsidRPr="00AC7985">
              <w:rPr>
                <w:lang w:val="it-IT"/>
              </w:rPr>
              <w:t>–</w:t>
            </w:r>
            <w:r w:rsidRPr="00AC7985">
              <w:rPr>
                <w:lang w:val="it-IT"/>
              </w:rPr>
              <w:t xml:space="preserve"> </w:t>
            </w:r>
            <w:r w:rsidR="00CB5354" w:rsidRPr="00AC7985">
              <w:rPr>
                <w:lang w:val="it-IT"/>
              </w:rPr>
              <w:t>Sandra Rodrigues</w:t>
            </w:r>
            <w:r w:rsidR="007A763C" w:rsidRPr="00AC7985">
              <w:rPr>
                <w:lang w:val="it-IT"/>
              </w:rPr>
              <w:t xml:space="preserve"> (</w:t>
            </w:r>
            <w:r w:rsidR="00CB5354" w:rsidRPr="00AC7985">
              <w:rPr>
                <w:lang w:val="it-IT"/>
              </w:rPr>
              <w:t>sandra.rodrigues</w:t>
            </w:r>
            <w:r w:rsidR="00297A4B" w:rsidRPr="00AC7985">
              <w:rPr>
                <w:lang w:val="it-IT"/>
              </w:rPr>
              <w:t>@efpia.eu</w:t>
            </w:r>
            <w:r w:rsidR="00B56F10" w:rsidRPr="00AC7985">
              <w:rPr>
                <w:lang w:val="it-IT"/>
              </w:rPr>
              <w:t>)</w:t>
            </w:r>
          </w:p>
        </w:tc>
      </w:tr>
    </w:tbl>
    <w:p w14:paraId="2BC62C98" w14:textId="77777777" w:rsidR="005D6621" w:rsidRPr="00AC7985" w:rsidRDefault="005D6621">
      <w:pPr>
        <w:pStyle w:val="BodytextAgency"/>
        <w:rPr>
          <w:lang w:val="it-IT"/>
        </w:rPr>
      </w:pPr>
    </w:p>
    <w:p w14:paraId="6CA993B0" w14:textId="77777777" w:rsidR="005D6621" w:rsidRDefault="005D6621">
      <w:pPr>
        <w:pStyle w:val="BodytextAgency"/>
        <w:rPr>
          <w:i/>
        </w:rPr>
      </w:pPr>
      <w:r>
        <w:rPr>
          <w:i/>
        </w:rPr>
        <w:t>Please note that these comments and the identity of the sender will be published unless a specific justified objection is received.</w:t>
      </w:r>
    </w:p>
    <w:p w14:paraId="4093CA49" w14:textId="77777777" w:rsidR="005D6621" w:rsidRDefault="005D6621">
      <w:pPr>
        <w:pStyle w:val="BodytextAgency"/>
        <w:rPr>
          <w:i/>
        </w:rPr>
      </w:pPr>
      <w:r>
        <w:rPr>
          <w:i/>
        </w:rPr>
        <w:t>When completed, this form should be sent to the European Medicines Agency electronically, in Word format (not PDF).</w:t>
      </w:r>
    </w:p>
    <w:p w14:paraId="00C43C66" w14:textId="77777777" w:rsidR="005D6621" w:rsidRDefault="005D6621">
      <w:pPr>
        <w:pStyle w:val="BodytextAgency"/>
      </w:pPr>
    </w:p>
    <w:p w14:paraId="034DBB6C" w14:textId="77777777" w:rsidR="005D6621" w:rsidRDefault="005D6621">
      <w:pPr>
        <w:pStyle w:val="BodytextAgency"/>
      </w:pPr>
    </w:p>
    <w:p w14:paraId="581BD1B6" w14:textId="77777777" w:rsidR="005D6621" w:rsidRDefault="005D6621">
      <w:pPr>
        <w:pStyle w:val="BodytextAgency"/>
        <w:sectPr w:rsidR="005D6621">
          <w:footerReference w:type="default" r:id="rId9"/>
          <w:headerReference w:type="first" r:id="rId10"/>
          <w:footerReference w:type="first" r:id="rId11"/>
          <w:pgSz w:w="11907" w:h="16839" w:code="9"/>
          <w:pgMar w:top="1418" w:right="1247" w:bottom="1418" w:left="1247" w:header="284" w:footer="680" w:gutter="0"/>
          <w:cols w:space="720"/>
          <w:titlePg/>
          <w:docGrid w:linePitch="326"/>
        </w:sectPr>
      </w:pPr>
    </w:p>
    <w:p w14:paraId="3E49104A"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8712"/>
        <w:gridCol w:w="3566"/>
      </w:tblGrid>
      <w:tr w:rsidR="005D6621" w:rsidRPr="006874D8" w14:paraId="4971A838" w14:textId="77777777" w:rsidTr="000C5C57">
        <w:trPr>
          <w:tblHeader/>
        </w:trPr>
        <w:tc>
          <w:tcPr>
            <w:tcW w:w="848" w:type="pct"/>
            <w:tcBorders>
              <w:top w:val="nil"/>
              <w:left w:val="nil"/>
              <w:bottom w:val="nil"/>
              <w:right w:val="nil"/>
            </w:tcBorders>
            <w:shd w:val="clear" w:color="auto" w:fill="003399"/>
          </w:tcPr>
          <w:p w14:paraId="1402B7F5" w14:textId="77777777" w:rsidR="005D6621" w:rsidRPr="006874D8" w:rsidRDefault="005D6621" w:rsidP="006874D8">
            <w:pPr>
              <w:pStyle w:val="TableheadingrowsAgency"/>
              <w:spacing w:after="0" w:line="240" w:lineRule="auto"/>
              <w:rPr>
                <w:b w:val="0"/>
                <w:bCs/>
              </w:rPr>
            </w:pPr>
            <w:r w:rsidRPr="006874D8">
              <w:rPr>
                <w:b w:val="0"/>
                <w:bCs/>
              </w:rPr>
              <w:t>Stakeholder number</w:t>
            </w:r>
          </w:p>
          <w:p w14:paraId="4757FA03" w14:textId="77777777" w:rsidR="005D6621" w:rsidRPr="006874D8" w:rsidRDefault="005D6621" w:rsidP="006874D8">
            <w:pPr>
              <w:pStyle w:val="TableheadingrowsAgency"/>
              <w:spacing w:after="0" w:line="240" w:lineRule="auto"/>
              <w:rPr>
                <w:b w:val="0"/>
                <w:bCs/>
                <w:i/>
                <w:color w:val="339966"/>
              </w:rPr>
            </w:pPr>
            <w:r w:rsidRPr="006874D8">
              <w:rPr>
                <w:i/>
                <w:color w:val="339966"/>
              </w:rPr>
              <w:t>(To be completed by the Agency)</w:t>
            </w:r>
          </w:p>
        </w:tc>
        <w:tc>
          <w:tcPr>
            <w:tcW w:w="2946" w:type="pct"/>
            <w:tcBorders>
              <w:top w:val="nil"/>
              <w:left w:val="nil"/>
              <w:bottom w:val="nil"/>
              <w:right w:val="nil"/>
            </w:tcBorders>
            <w:shd w:val="clear" w:color="auto" w:fill="003399"/>
          </w:tcPr>
          <w:p w14:paraId="151F0DEC" w14:textId="77777777" w:rsidR="005D6621" w:rsidRPr="006874D8" w:rsidRDefault="005D6621" w:rsidP="006874D8">
            <w:pPr>
              <w:pStyle w:val="TableheadingrowsAgency"/>
              <w:spacing w:after="0" w:line="240" w:lineRule="auto"/>
              <w:rPr>
                <w:b w:val="0"/>
                <w:bCs/>
              </w:rPr>
            </w:pPr>
            <w:r w:rsidRPr="006874D8">
              <w:rPr>
                <w:b w:val="0"/>
                <w:bCs/>
              </w:rPr>
              <w:t>General comment (if any)</w:t>
            </w:r>
          </w:p>
        </w:tc>
        <w:tc>
          <w:tcPr>
            <w:tcW w:w="1206" w:type="pct"/>
            <w:tcBorders>
              <w:top w:val="nil"/>
              <w:left w:val="nil"/>
              <w:bottom w:val="nil"/>
              <w:right w:val="nil"/>
            </w:tcBorders>
            <w:shd w:val="clear" w:color="auto" w:fill="003399"/>
          </w:tcPr>
          <w:p w14:paraId="6365DF7D" w14:textId="77777777" w:rsidR="005D6621" w:rsidRPr="006874D8" w:rsidRDefault="005D6621" w:rsidP="006874D8">
            <w:pPr>
              <w:pStyle w:val="TableheadingrowsAgency"/>
              <w:spacing w:after="0" w:line="240" w:lineRule="auto"/>
              <w:rPr>
                <w:b w:val="0"/>
                <w:bCs/>
              </w:rPr>
            </w:pPr>
            <w:r w:rsidRPr="006874D8">
              <w:rPr>
                <w:b w:val="0"/>
                <w:bCs/>
              </w:rPr>
              <w:t>Outcome (if applicable)</w:t>
            </w:r>
          </w:p>
          <w:p w14:paraId="563BA68F" w14:textId="77777777" w:rsidR="005D6621" w:rsidRPr="006874D8" w:rsidRDefault="005D6621" w:rsidP="006874D8">
            <w:pPr>
              <w:pStyle w:val="TableheadingrowsAgency"/>
              <w:spacing w:after="0" w:line="240" w:lineRule="auto"/>
              <w:rPr>
                <w:b w:val="0"/>
                <w:bCs/>
                <w:i/>
                <w:color w:val="339966"/>
              </w:rPr>
            </w:pPr>
            <w:r w:rsidRPr="006874D8">
              <w:rPr>
                <w:i/>
                <w:color w:val="339966"/>
              </w:rPr>
              <w:t>(To be completed by the Agency)</w:t>
            </w:r>
          </w:p>
        </w:tc>
      </w:tr>
      <w:tr w:rsidR="00ED180E" w:rsidRPr="006874D8" w14:paraId="6372A4EF" w14:textId="77777777" w:rsidTr="000C5C57">
        <w:tc>
          <w:tcPr>
            <w:tcW w:w="848" w:type="pct"/>
            <w:shd w:val="clear" w:color="auto" w:fill="E1E3F2"/>
          </w:tcPr>
          <w:p w14:paraId="284F583E" w14:textId="77777777" w:rsidR="00ED180E" w:rsidRPr="006874D8" w:rsidRDefault="00ED180E" w:rsidP="006874D8">
            <w:pPr>
              <w:pStyle w:val="TabletextrowsAgency"/>
              <w:spacing w:line="240" w:lineRule="auto"/>
              <w:rPr>
                <w:b/>
              </w:rPr>
            </w:pPr>
          </w:p>
        </w:tc>
        <w:tc>
          <w:tcPr>
            <w:tcW w:w="2946" w:type="pct"/>
            <w:shd w:val="clear" w:color="auto" w:fill="E1E3F2"/>
          </w:tcPr>
          <w:p w14:paraId="06F90B95" w14:textId="77777777" w:rsidR="006741F3" w:rsidRPr="00541D76" w:rsidRDefault="00ED180E" w:rsidP="006874D8">
            <w:pPr>
              <w:pStyle w:val="TabletextrowsAgency"/>
              <w:spacing w:line="240" w:lineRule="auto"/>
            </w:pPr>
            <w:r w:rsidRPr="00541D76">
              <w:t xml:space="preserve">EFPIA welcome the revision of the existing </w:t>
            </w:r>
            <w:r w:rsidR="00541D76" w:rsidRPr="00541D76">
              <w:t>Orally Inhaled Products (</w:t>
            </w:r>
            <w:r w:rsidRPr="00541D76">
              <w:t>OIP</w:t>
            </w:r>
            <w:r w:rsidR="00541D76" w:rsidRPr="00541D76">
              <w:t>)</w:t>
            </w:r>
            <w:r w:rsidRPr="00541D76">
              <w:t xml:space="preserve"> guideline </w:t>
            </w:r>
            <w:r w:rsidR="0065429D" w:rsidRPr="00541D76">
              <w:t>and fully support the need to</w:t>
            </w:r>
            <w:r w:rsidR="006075CC" w:rsidRPr="00541D76">
              <w:t xml:space="preserve"> p</w:t>
            </w:r>
            <w:r w:rsidR="0065429D" w:rsidRPr="00541D76">
              <w:t xml:space="preserve">rovide clarification </w:t>
            </w:r>
            <w:r w:rsidR="006075CC" w:rsidRPr="00541D76">
              <w:t xml:space="preserve">on </w:t>
            </w:r>
            <w:r w:rsidR="00541D76" w:rsidRPr="00541D76">
              <w:t xml:space="preserve">clinical </w:t>
            </w:r>
            <w:r w:rsidR="006075CC" w:rsidRPr="00541D76">
              <w:t xml:space="preserve">data </w:t>
            </w:r>
            <w:r w:rsidR="00541D76" w:rsidRPr="00541D76">
              <w:t>required to document</w:t>
            </w:r>
            <w:r w:rsidR="006741F3" w:rsidRPr="00541D76">
              <w:t xml:space="preserve"> </w:t>
            </w:r>
            <w:r w:rsidR="00541D76" w:rsidRPr="00541D76">
              <w:t>the</w:t>
            </w:r>
            <w:r w:rsidR="006741F3" w:rsidRPr="00541D76">
              <w:t xml:space="preserve"> therapeutic equivalence between two inhaled products for the treatment of asthma in children and adolescents</w:t>
            </w:r>
            <w:r w:rsidR="00541D76" w:rsidRPr="00541D76">
              <w:t xml:space="preserve"> and chronic obstructive pulmonary disease in adults</w:t>
            </w:r>
            <w:r w:rsidR="00541D76">
              <w:t>.</w:t>
            </w:r>
          </w:p>
          <w:p w14:paraId="1B3E0A6E" w14:textId="77777777" w:rsidR="006075CC" w:rsidRPr="006874D8" w:rsidRDefault="006075CC" w:rsidP="006874D8">
            <w:pPr>
              <w:pStyle w:val="TabletextrowsAgency"/>
              <w:spacing w:line="240" w:lineRule="auto"/>
            </w:pPr>
          </w:p>
          <w:p w14:paraId="3622D363" w14:textId="77777777" w:rsidR="00ED180E" w:rsidRPr="006874D8" w:rsidRDefault="006075CC" w:rsidP="006874D8">
            <w:pPr>
              <w:pStyle w:val="TabletextrowsAgency"/>
              <w:spacing w:line="240" w:lineRule="auto"/>
            </w:pPr>
            <w:r w:rsidRPr="006874D8">
              <w:t xml:space="preserve">In addition to the detailed comments displayed in section 2 of this document, we </w:t>
            </w:r>
            <w:r w:rsidR="00ED180E" w:rsidRPr="006874D8">
              <w:t xml:space="preserve">have the following </w:t>
            </w:r>
            <w:r w:rsidRPr="006874D8">
              <w:t>general consideration for</w:t>
            </w:r>
            <w:r w:rsidR="00541D76">
              <w:t xml:space="preserve"> the revised guideline:</w:t>
            </w:r>
          </w:p>
          <w:p w14:paraId="711443FF" w14:textId="77777777" w:rsidR="006075CC" w:rsidRPr="006874D8" w:rsidRDefault="006075CC" w:rsidP="006874D8">
            <w:pPr>
              <w:pStyle w:val="TabletextrowsAgency"/>
              <w:spacing w:line="240" w:lineRule="auto"/>
            </w:pPr>
          </w:p>
          <w:p w14:paraId="4D8AF822" w14:textId="24424307" w:rsidR="00C87367" w:rsidRPr="0036196E" w:rsidRDefault="000C5C57" w:rsidP="0036196E">
            <w:pPr>
              <w:pStyle w:val="TabletextrowsAgency"/>
              <w:numPr>
                <w:ilvl w:val="0"/>
                <w:numId w:val="46"/>
              </w:numPr>
              <w:spacing w:line="240" w:lineRule="auto"/>
            </w:pPr>
            <w:r w:rsidRPr="006874D8">
              <w:rPr>
                <w:b/>
              </w:rPr>
              <w:t>Step-wise approach to demonstrate therapeutic equivalence:</w:t>
            </w:r>
            <w:r w:rsidRPr="006874D8">
              <w:t xml:space="preserve"> </w:t>
            </w:r>
            <w:r w:rsidR="00C87367" w:rsidRPr="0036196E">
              <w:t xml:space="preserve">EFPIA recommends that the guideline should clearly differentiate between variations of </w:t>
            </w:r>
            <w:r w:rsidR="00541D76" w:rsidRPr="0036196E">
              <w:t xml:space="preserve">an </w:t>
            </w:r>
            <w:r w:rsidR="00C87367" w:rsidRPr="0036196E">
              <w:t xml:space="preserve">approved product and the development of </w:t>
            </w:r>
            <w:r w:rsidR="00541D76" w:rsidRPr="0036196E">
              <w:t>a new product.  F</w:t>
            </w:r>
            <w:r w:rsidR="00C87367" w:rsidRPr="0036196E">
              <w:t>or changes to existing products, the formulation and the inhaler have been known for years and significant data,</w:t>
            </w:r>
            <w:r w:rsidR="00FB2416" w:rsidRPr="0036196E">
              <w:t xml:space="preserve"> including </w:t>
            </w:r>
            <w:r w:rsidR="00FB2416" w:rsidRPr="003241FC">
              <w:rPr>
                <w:i/>
              </w:rPr>
              <w:t>in vitro</w:t>
            </w:r>
            <w:r w:rsidR="00FB2416" w:rsidRPr="0036196E">
              <w:t xml:space="preserve">, PK, PD, </w:t>
            </w:r>
            <w:r w:rsidR="00C87367" w:rsidRPr="0036196E">
              <w:t>Human Factor data</w:t>
            </w:r>
            <w:r w:rsidR="009B559C" w:rsidRPr="0036196E">
              <w:t xml:space="preserve"> and pharmacovigilance data</w:t>
            </w:r>
            <w:r w:rsidR="00C87367" w:rsidRPr="0036196E">
              <w:t xml:space="preserve"> have been collected </w:t>
            </w:r>
            <w:r w:rsidR="00541D76" w:rsidRPr="0036196E">
              <w:t>pre- and post-product approval</w:t>
            </w:r>
            <w:r w:rsidR="00C87367" w:rsidRPr="0036196E">
              <w:t xml:space="preserve">. This situation does not necessarily </w:t>
            </w:r>
            <w:r w:rsidR="0036196E" w:rsidRPr="0036196E">
              <w:t xml:space="preserve">apply to </w:t>
            </w:r>
            <w:r w:rsidR="003241FC">
              <w:t>‘</w:t>
            </w:r>
            <w:r w:rsidR="0036196E" w:rsidRPr="0036196E">
              <w:t>generic</w:t>
            </w:r>
            <w:r w:rsidR="003241FC">
              <w:t>s’</w:t>
            </w:r>
            <w:r w:rsidR="00C87367" w:rsidRPr="0036196E">
              <w:t>. Therefore, EFPIA suggests t</w:t>
            </w:r>
            <w:r w:rsidR="0036196E" w:rsidRPr="0036196E">
              <w:t>he need to</w:t>
            </w:r>
            <w:r w:rsidR="00C87367" w:rsidRPr="0036196E">
              <w:t xml:space="preserve"> </w:t>
            </w:r>
            <w:r w:rsidR="0036196E" w:rsidRPr="0036196E">
              <w:t>consider</w:t>
            </w:r>
            <w:r w:rsidR="00C87367" w:rsidRPr="0036196E">
              <w:t xml:space="preserve"> </w:t>
            </w:r>
            <w:r w:rsidR="00797442" w:rsidRPr="0036196E">
              <w:t xml:space="preserve">different </w:t>
            </w:r>
            <w:r w:rsidR="00C87367" w:rsidRPr="0036196E">
              <w:t xml:space="preserve">approaches </w:t>
            </w:r>
            <w:r w:rsidR="0036196E" w:rsidRPr="0036196E">
              <w:t>when demonstrating</w:t>
            </w:r>
            <w:r w:rsidR="00C87367" w:rsidRPr="0036196E">
              <w:t xml:space="preserve"> therapeutic equivalence: </w:t>
            </w:r>
          </w:p>
          <w:p w14:paraId="675E1A99" w14:textId="77777777" w:rsidR="00797442" w:rsidRPr="0036196E" w:rsidRDefault="00C87367" w:rsidP="006874D8">
            <w:pPr>
              <w:pStyle w:val="TabletextrowsAgency"/>
              <w:numPr>
                <w:ilvl w:val="0"/>
                <w:numId w:val="47"/>
              </w:numPr>
              <w:spacing w:line="240" w:lineRule="auto"/>
            </w:pPr>
            <w:r w:rsidRPr="0036196E">
              <w:t xml:space="preserve">For changes to approved products, the use of </w:t>
            </w:r>
            <w:r w:rsidRPr="0036196E">
              <w:rPr>
                <w:i/>
              </w:rPr>
              <w:t>in vitro</w:t>
            </w:r>
            <w:r w:rsidRPr="0036196E">
              <w:t xml:space="preserve"> data alone,</w:t>
            </w:r>
            <w:r w:rsidR="004B3585" w:rsidRPr="0036196E">
              <w:t xml:space="preserve"> or </w:t>
            </w:r>
            <w:r w:rsidR="004B3585" w:rsidRPr="0036196E">
              <w:rPr>
                <w:i/>
              </w:rPr>
              <w:t>in vitro</w:t>
            </w:r>
            <w:r w:rsidR="004B3585" w:rsidRPr="0036196E">
              <w:t xml:space="preserve"> and PK data</w:t>
            </w:r>
            <w:r w:rsidRPr="0036196E">
              <w:t xml:space="preserve"> as allowed in the current version of the guideline, may be sufficient </w:t>
            </w:r>
            <w:r w:rsidRPr="0036196E">
              <w:rPr>
                <w:bCs/>
              </w:rPr>
              <w:t>provided justification.</w:t>
            </w:r>
          </w:p>
          <w:p w14:paraId="202F4F27" w14:textId="6D694FF8" w:rsidR="00EC7A18" w:rsidRDefault="00C87367" w:rsidP="00EC7A18">
            <w:pPr>
              <w:pStyle w:val="TabletextrowsAgency"/>
              <w:numPr>
                <w:ilvl w:val="0"/>
                <w:numId w:val="47"/>
              </w:numPr>
              <w:spacing w:line="240" w:lineRule="auto"/>
            </w:pPr>
            <w:r w:rsidRPr="0036196E">
              <w:t xml:space="preserve">For the </w:t>
            </w:r>
            <w:r w:rsidR="00797442" w:rsidRPr="0036196E">
              <w:t xml:space="preserve">development of </w:t>
            </w:r>
            <w:r w:rsidR="003241FC">
              <w:t>‘</w:t>
            </w:r>
            <w:r w:rsidR="004557A6" w:rsidRPr="0036196E">
              <w:t>generic</w:t>
            </w:r>
            <w:r w:rsidR="003241FC">
              <w:t>’</w:t>
            </w:r>
            <w:r w:rsidR="00B27D58" w:rsidRPr="0036196E">
              <w:t xml:space="preserve"> </w:t>
            </w:r>
            <w:r w:rsidRPr="0036196E">
              <w:t>products</w:t>
            </w:r>
            <w:r w:rsidR="00F47B7F" w:rsidRPr="0036196E">
              <w:t xml:space="preserve"> submitted as </w:t>
            </w:r>
            <w:r w:rsidR="00F47B7F" w:rsidRPr="0036196E">
              <w:rPr>
                <w:lang w:val="en-US"/>
              </w:rPr>
              <w:t>hybrid applications</w:t>
            </w:r>
            <w:r w:rsidR="0036196E" w:rsidRPr="0036196E">
              <w:rPr>
                <w:lang w:val="en-US"/>
              </w:rPr>
              <w:t>,</w:t>
            </w:r>
            <w:r w:rsidR="00EC7A18" w:rsidRPr="0036196E">
              <w:t xml:space="preserve"> </w:t>
            </w:r>
            <w:r w:rsidR="00EC7A18" w:rsidRPr="0036196E">
              <w:rPr>
                <w:i/>
              </w:rPr>
              <w:t>in vitro</w:t>
            </w:r>
            <w:r w:rsidR="00EC7A18" w:rsidRPr="0036196E">
              <w:t xml:space="preserve"> and/or PK on their own may not be sufficient to demonstrate therapeutic equivalence</w:t>
            </w:r>
            <w:r w:rsidR="008A78A6">
              <w:t>.</w:t>
            </w:r>
          </w:p>
          <w:p w14:paraId="51FC5067" w14:textId="77777777" w:rsidR="008A78A6" w:rsidRPr="0036196E" w:rsidRDefault="008A78A6" w:rsidP="008A78A6">
            <w:pPr>
              <w:pStyle w:val="TabletextrowsAgency"/>
              <w:spacing w:line="240" w:lineRule="auto"/>
              <w:ind w:left="360"/>
            </w:pPr>
          </w:p>
          <w:p w14:paraId="57A552F6" w14:textId="77777777" w:rsidR="006A066F" w:rsidRDefault="006A066F" w:rsidP="00C56051">
            <w:pPr>
              <w:pStyle w:val="TabletextrowsAgency"/>
              <w:numPr>
                <w:ilvl w:val="0"/>
                <w:numId w:val="46"/>
              </w:numPr>
              <w:spacing w:line="240" w:lineRule="auto"/>
            </w:pPr>
            <w:r w:rsidRPr="00C56051">
              <w:rPr>
                <w:b/>
              </w:rPr>
              <w:t xml:space="preserve">Global harmonisation: </w:t>
            </w:r>
            <w:r w:rsidRPr="00C56051">
              <w:t xml:space="preserve">Knowing products are usually developed globally a harmonised </w:t>
            </w:r>
            <w:r w:rsidR="00C56051">
              <w:t xml:space="preserve">regulators’ </w:t>
            </w:r>
            <w:r w:rsidRPr="00C56051">
              <w:t>position would be welcome.</w:t>
            </w:r>
          </w:p>
          <w:p w14:paraId="7C6C9582" w14:textId="77777777" w:rsidR="008A78A6" w:rsidRPr="00C56051" w:rsidRDefault="008A78A6" w:rsidP="008A78A6">
            <w:pPr>
              <w:pStyle w:val="TabletextrowsAgency"/>
              <w:spacing w:line="240" w:lineRule="auto"/>
              <w:ind w:left="360"/>
            </w:pPr>
          </w:p>
          <w:p w14:paraId="6CB09CE0" w14:textId="77777777" w:rsidR="000C5C57" w:rsidRDefault="000C5C57" w:rsidP="006874D8">
            <w:pPr>
              <w:pStyle w:val="TabletextrowsAgency"/>
              <w:numPr>
                <w:ilvl w:val="0"/>
                <w:numId w:val="45"/>
              </w:numPr>
              <w:spacing w:line="240" w:lineRule="auto"/>
              <w:ind w:right="74"/>
            </w:pPr>
            <w:r w:rsidRPr="006874D8">
              <w:rPr>
                <w:b/>
              </w:rPr>
              <w:t>Bracketing the requirements:</w:t>
            </w:r>
            <w:r w:rsidRPr="006874D8">
              <w:t xml:space="preserve"> If more than one product pack size exists (e.g. number of doses in the device), guidance should be provided on the acceptability of bracketing the requirements (step 1-3).</w:t>
            </w:r>
          </w:p>
          <w:p w14:paraId="4E7F38EE" w14:textId="77777777" w:rsidR="008A78A6" w:rsidRPr="006874D8" w:rsidRDefault="008A78A6" w:rsidP="008A78A6">
            <w:pPr>
              <w:pStyle w:val="TabletextrowsAgency"/>
              <w:spacing w:line="240" w:lineRule="auto"/>
              <w:ind w:left="360" w:right="74"/>
            </w:pPr>
          </w:p>
          <w:p w14:paraId="01B7F089" w14:textId="77777777" w:rsidR="000C5C57" w:rsidRDefault="000C5C57" w:rsidP="006874D8">
            <w:pPr>
              <w:pStyle w:val="TabletextrowsAgency"/>
              <w:numPr>
                <w:ilvl w:val="0"/>
                <w:numId w:val="45"/>
              </w:numPr>
              <w:spacing w:line="240" w:lineRule="auto"/>
              <w:ind w:right="74"/>
            </w:pPr>
            <w:r w:rsidRPr="006874D8">
              <w:rPr>
                <w:b/>
              </w:rPr>
              <w:t>Clarifications for waiving PK data:</w:t>
            </w:r>
            <w:r w:rsidRPr="006874D8">
              <w:t xml:space="preserve"> Further clarification on how to demonstrate dose proportionality across a product range (different doses) </w:t>
            </w:r>
            <w:r w:rsidRPr="006874D8">
              <w:rPr>
                <w:i/>
              </w:rPr>
              <w:t>in vitro</w:t>
            </w:r>
            <w:r w:rsidRPr="006874D8">
              <w:t xml:space="preserve"> for waiving PK studies would be beneficial and the general approach published recently provides a useful starting point (Quality of Medicines Q&amp;A, Specific types of product, Orally inhaled </w:t>
            </w:r>
            <w:r w:rsidRPr="006874D8">
              <w:lastRenderedPageBreak/>
              <w:t xml:space="preserve">products published 06/03/2017). Similarly, further guidance on the optimal way to evaluate </w:t>
            </w:r>
            <w:r w:rsidRPr="006874D8">
              <w:rPr>
                <w:i/>
              </w:rPr>
              <w:t>in vitro</w:t>
            </w:r>
            <w:r w:rsidRPr="006874D8">
              <w:t xml:space="preserve"> flow rate dependency with a view to using the outcome for waiving the need for PK data in patients would be beneficial</w:t>
            </w:r>
            <w:r w:rsidR="008A78A6">
              <w:t>.</w:t>
            </w:r>
          </w:p>
          <w:p w14:paraId="089364BB" w14:textId="77777777" w:rsidR="008A78A6" w:rsidRPr="006874D8" w:rsidRDefault="008A78A6" w:rsidP="008A78A6">
            <w:pPr>
              <w:pStyle w:val="TabletextrowsAgency"/>
              <w:spacing w:line="240" w:lineRule="auto"/>
              <w:ind w:right="74"/>
            </w:pPr>
          </w:p>
          <w:p w14:paraId="198C0CD1" w14:textId="77777777" w:rsidR="000C5C57" w:rsidRPr="008A78A6" w:rsidRDefault="000C5C57" w:rsidP="006874D8">
            <w:pPr>
              <w:pStyle w:val="TabletextrowsAgency"/>
              <w:numPr>
                <w:ilvl w:val="0"/>
                <w:numId w:val="45"/>
              </w:numPr>
              <w:spacing w:line="240" w:lineRule="auto"/>
            </w:pPr>
            <w:r w:rsidRPr="00155F8D">
              <w:rPr>
                <w:b/>
              </w:rPr>
              <w:t>Reference to the PKWP Q&amp;A should be considered:</w:t>
            </w:r>
            <w:r w:rsidRPr="00155F8D">
              <w:t xml:space="preserve"> The revised guideline should implement the PKWP positions summarised in the </w:t>
            </w:r>
            <w:hyperlink r:id="rId12" w:history="1">
              <w:r w:rsidRPr="00155F8D">
                <w:rPr>
                  <w:rStyle w:val="Hyperlink"/>
                  <w:color w:val="auto"/>
                </w:rPr>
                <w:t>Q&amp;A document</w:t>
              </w:r>
            </w:hyperlink>
            <w:r w:rsidRPr="00155F8D">
              <w:t xml:space="preserve"> EMA/618604/2008 Rev. 13 (“Questions &amp; Answers: positions of specific questions addressed to the Pharmacokinetic Working </w:t>
            </w:r>
            <w:r w:rsidRPr="008A78A6">
              <w:t xml:space="preserve">Party (PKWP)”), specifically under chapter 17, Evaluation of orally inhaled products. </w:t>
            </w:r>
          </w:p>
          <w:p w14:paraId="2CD45ED9" w14:textId="77777777" w:rsidR="008A78A6" w:rsidRPr="008A78A6" w:rsidRDefault="008A78A6" w:rsidP="008A78A6">
            <w:pPr>
              <w:pStyle w:val="TabletextrowsAgency"/>
              <w:spacing w:line="240" w:lineRule="auto"/>
            </w:pPr>
          </w:p>
          <w:p w14:paraId="6A476683" w14:textId="77777777" w:rsidR="007F0650" w:rsidRPr="00356524" w:rsidRDefault="007F0650" w:rsidP="008A78A6">
            <w:pPr>
              <w:pStyle w:val="TabletextrowsAgency"/>
              <w:numPr>
                <w:ilvl w:val="0"/>
                <w:numId w:val="45"/>
              </w:numPr>
              <w:spacing w:line="240" w:lineRule="auto"/>
              <w:rPr>
                <w:strike/>
              </w:rPr>
            </w:pPr>
            <w:r w:rsidRPr="008A78A6">
              <w:rPr>
                <w:b/>
              </w:rPr>
              <w:t xml:space="preserve">Proposal to modify the title of the revised guideline: </w:t>
            </w:r>
            <w:r w:rsidRPr="008A78A6">
              <w:t xml:space="preserve">It is noted that there is not a proposed revision of the title of the guideline. Given that equivalence could be demonstrated based on </w:t>
            </w:r>
            <w:r w:rsidRPr="008A78A6">
              <w:rPr>
                <w:i/>
              </w:rPr>
              <w:t xml:space="preserve">in vitro </w:t>
            </w:r>
            <w:r w:rsidRPr="008A78A6">
              <w:t>data alone, though acknowledging this is challenging, ideally the title of the guidance should reflect the basis on which a test product could be approved.  Currently the title only references the ‘requirements for clinical documentation’ for therapeutic equivalence</w:t>
            </w:r>
            <w:r w:rsidRPr="00356524">
              <w:t xml:space="preserve">.  </w:t>
            </w:r>
          </w:p>
        </w:tc>
        <w:tc>
          <w:tcPr>
            <w:tcW w:w="1206" w:type="pct"/>
            <w:shd w:val="clear" w:color="auto" w:fill="E1E3F2"/>
          </w:tcPr>
          <w:p w14:paraId="50349036" w14:textId="77777777" w:rsidR="00ED180E" w:rsidRPr="006874D8" w:rsidRDefault="00ED180E" w:rsidP="006874D8">
            <w:pPr>
              <w:pStyle w:val="TabletextrowsAgency"/>
              <w:spacing w:line="240" w:lineRule="auto"/>
              <w:rPr>
                <w:color w:val="FF0000"/>
              </w:rPr>
            </w:pPr>
          </w:p>
          <w:p w14:paraId="0B8D36E5" w14:textId="77777777" w:rsidR="005D3428" w:rsidRPr="006874D8" w:rsidRDefault="005D3428" w:rsidP="006874D8">
            <w:pPr>
              <w:pStyle w:val="TabletextrowsAgency"/>
              <w:spacing w:line="240" w:lineRule="auto"/>
              <w:rPr>
                <w:color w:val="FF0000"/>
              </w:rPr>
            </w:pPr>
          </w:p>
          <w:p w14:paraId="437FA969" w14:textId="77777777" w:rsidR="005D3428" w:rsidRPr="006874D8" w:rsidRDefault="005D3428" w:rsidP="006874D8">
            <w:pPr>
              <w:pStyle w:val="TabletextrowsAgency"/>
              <w:spacing w:line="240" w:lineRule="auto"/>
              <w:rPr>
                <w:color w:val="FF0000"/>
              </w:rPr>
            </w:pPr>
          </w:p>
          <w:p w14:paraId="13930028" w14:textId="77777777" w:rsidR="005D3428" w:rsidRPr="006874D8" w:rsidRDefault="005D3428" w:rsidP="006874D8">
            <w:pPr>
              <w:pStyle w:val="TabletextrowsAgency"/>
              <w:spacing w:line="240" w:lineRule="auto"/>
              <w:rPr>
                <w:color w:val="FF0000"/>
              </w:rPr>
            </w:pPr>
          </w:p>
          <w:p w14:paraId="0979BE4D" w14:textId="77777777" w:rsidR="005D3428" w:rsidRPr="006874D8" w:rsidRDefault="005D3428" w:rsidP="006874D8">
            <w:pPr>
              <w:pStyle w:val="TabletextrowsAgency"/>
              <w:spacing w:line="240" w:lineRule="auto"/>
              <w:rPr>
                <w:color w:val="FF0000"/>
              </w:rPr>
            </w:pPr>
          </w:p>
          <w:p w14:paraId="1E863331" w14:textId="77777777" w:rsidR="00CB5C67" w:rsidRPr="006874D8" w:rsidRDefault="00CB5C67" w:rsidP="006874D8">
            <w:pPr>
              <w:pStyle w:val="TabletextrowsAgency"/>
              <w:spacing w:line="240" w:lineRule="auto"/>
              <w:rPr>
                <w:color w:val="FF0000"/>
              </w:rPr>
            </w:pPr>
          </w:p>
          <w:p w14:paraId="1D66A084" w14:textId="77777777" w:rsidR="00CB5C67" w:rsidRPr="006874D8" w:rsidRDefault="00CB5C67" w:rsidP="006874D8">
            <w:pPr>
              <w:pStyle w:val="TabletextrowsAgency"/>
              <w:spacing w:line="240" w:lineRule="auto"/>
              <w:rPr>
                <w:color w:val="FF0000"/>
              </w:rPr>
            </w:pPr>
          </w:p>
          <w:p w14:paraId="0528A6E6" w14:textId="77777777" w:rsidR="00CB5C67" w:rsidRPr="006874D8" w:rsidRDefault="00CB5C67" w:rsidP="006874D8">
            <w:pPr>
              <w:pStyle w:val="TabletextrowsAgency"/>
              <w:spacing w:line="240" w:lineRule="auto"/>
              <w:rPr>
                <w:color w:val="FF0000"/>
              </w:rPr>
            </w:pPr>
          </w:p>
          <w:p w14:paraId="039768DA" w14:textId="77777777" w:rsidR="00C87367" w:rsidRPr="006874D8" w:rsidRDefault="00C87367" w:rsidP="006874D8">
            <w:pPr>
              <w:pStyle w:val="TabletextrowsAgency"/>
              <w:spacing w:line="240" w:lineRule="auto"/>
              <w:rPr>
                <w:color w:val="00B050"/>
              </w:rPr>
            </w:pPr>
          </w:p>
          <w:p w14:paraId="629E1583" w14:textId="77777777" w:rsidR="00D42092" w:rsidRPr="006874D8" w:rsidRDefault="00D42092" w:rsidP="006874D8">
            <w:pPr>
              <w:pStyle w:val="TabletextrowsAgency"/>
              <w:spacing w:line="240" w:lineRule="auto"/>
              <w:rPr>
                <w:color w:val="FF0000"/>
              </w:rPr>
            </w:pPr>
          </w:p>
          <w:p w14:paraId="65AC23C5" w14:textId="77777777" w:rsidR="00D42092" w:rsidRPr="006874D8" w:rsidRDefault="00D42092" w:rsidP="006874D8">
            <w:pPr>
              <w:pStyle w:val="TabletextrowsAgency"/>
              <w:spacing w:line="240" w:lineRule="auto"/>
              <w:rPr>
                <w:color w:val="FF0000"/>
              </w:rPr>
            </w:pPr>
          </w:p>
          <w:p w14:paraId="17E52CF6" w14:textId="77777777" w:rsidR="00D42092" w:rsidRPr="006874D8" w:rsidRDefault="00D42092" w:rsidP="006874D8">
            <w:pPr>
              <w:pStyle w:val="TabletextrowsAgency"/>
              <w:spacing w:line="240" w:lineRule="auto"/>
              <w:rPr>
                <w:color w:val="FF0000"/>
              </w:rPr>
            </w:pPr>
          </w:p>
          <w:p w14:paraId="4DFA9E87" w14:textId="77777777" w:rsidR="00D42092" w:rsidRPr="006874D8" w:rsidRDefault="00D42092" w:rsidP="006874D8">
            <w:pPr>
              <w:pStyle w:val="TabletextrowsAgency"/>
              <w:spacing w:line="240" w:lineRule="auto"/>
              <w:rPr>
                <w:color w:val="FF0000"/>
              </w:rPr>
            </w:pPr>
          </w:p>
          <w:p w14:paraId="22A06D9F" w14:textId="77777777" w:rsidR="00D42092" w:rsidRPr="006874D8" w:rsidRDefault="00D42092" w:rsidP="006874D8">
            <w:pPr>
              <w:pStyle w:val="TabletextrowsAgency"/>
              <w:spacing w:line="240" w:lineRule="auto"/>
              <w:rPr>
                <w:color w:val="FF0000"/>
              </w:rPr>
            </w:pPr>
          </w:p>
          <w:p w14:paraId="7F9A38A9" w14:textId="77777777" w:rsidR="00D42092" w:rsidRPr="006874D8" w:rsidRDefault="00D42092" w:rsidP="006874D8">
            <w:pPr>
              <w:pStyle w:val="TabletextrowsAgency"/>
              <w:spacing w:line="240" w:lineRule="auto"/>
              <w:rPr>
                <w:color w:val="FF0000"/>
              </w:rPr>
            </w:pPr>
          </w:p>
          <w:p w14:paraId="5A7CABAC" w14:textId="77777777" w:rsidR="00D42092" w:rsidRPr="006874D8" w:rsidRDefault="00D42092" w:rsidP="006874D8">
            <w:pPr>
              <w:pStyle w:val="TabletextrowsAgency"/>
              <w:spacing w:line="240" w:lineRule="auto"/>
              <w:rPr>
                <w:color w:val="FF0000"/>
              </w:rPr>
            </w:pPr>
          </w:p>
          <w:p w14:paraId="7BD2BE1F" w14:textId="77777777" w:rsidR="00D42092" w:rsidRPr="006874D8" w:rsidRDefault="00D42092" w:rsidP="006874D8">
            <w:pPr>
              <w:pStyle w:val="TabletextrowsAgency"/>
              <w:spacing w:line="240" w:lineRule="auto"/>
              <w:rPr>
                <w:color w:val="FF0000"/>
              </w:rPr>
            </w:pPr>
          </w:p>
          <w:p w14:paraId="5ED4A6E4" w14:textId="77777777" w:rsidR="00D42092" w:rsidRPr="006874D8" w:rsidRDefault="00D42092" w:rsidP="006874D8">
            <w:pPr>
              <w:pStyle w:val="TabletextrowsAgency"/>
              <w:spacing w:line="240" w:lineRule="auto"/>
              <w:rPr>
                <w:color w:val="FF0000"/>
              </w:rPr>
            </w:pPr>
          </w:p>
          <w:p w14:paraId="1F136DF2" w14:textId="77777777" w:rsidR="00D42092" w:rsidRPr="006874D8" w:rsidRDefault="00D42092" w:rsidP="006874D8">
            <w:pPr>
              <w:pStyle w:val="TabletextrowsAgency"/>
              <w:spacing w:line="240" w:lineRule="auto"/>
              <w:rPr>
                <w:color w:val="FF0000"/>
              </w:rPr>
            </w:pPr>
          </w:p>
          <w:p w14:paraId="476D8CB8" w14:textId="77777777" w:rsidR="00D42092" w:rsidRPr="006874D8" w:rsidRDefault="00D42092" w:rsidP="006874D8">
            <w:pPr>
              <w:pStyle w:val="TabletextrowsAgency"/>
              <w:spacing w:line="240" w:lineRule="auto"/>
              <w:rPr>
                <w:color w:val="FF0000"/>
              </w:rPr>
            </w:pPr>
          </w:p>
          <w:p w14:paraId="50BC4456" w14:textId="77777777" w:rsidR="00D42092" w:rsidRPr="006874D8" w:rsidRDefault="00D42092" w:rsidP="006874D8">
            <w:pPr>
              <w:pStyle w:val="TabletextrowsAgency"/>
              <w:spacing w:line="240" w:lineRule="auto"/>
              <w:rPr>
                <w:color w:val="FF0000"/>
              </w:rPr>
            </w:pPr>
          </w:p>
          <w:p w14:paraId="61967ABF" w14:textId="77777777" w:rsidR="00D42092" w:rsidRPr="006874D8" w:rsidRDefault="00D42092" w:rsidP="006874D8">
            <w:pPr>
              <w:pStyle w:val="TabletextrowsAgency"/>
              <w:spacing w:line="240" w:lineRule="auto"/>
              <w:rPr>
                <w:color w:val="FF0000"/>
              </w:rPr>
            </w:pPr>
          </w:p>
          <w:p w14:paraId="64EFD39E" w14:textId="77777777" w:rsidR="00D42092" w:rsidRPr="006874D8" w:rsidRDefault="00D42092" w:rsidP="006874D8">
            <w:pPr>
              <w:pStyle w:val="TabletextrowsAgency"/>
              <w:spacing w:line="240" w:lineRule="auto"/>
              <w:rPr>
                <w:color w:val="FF0000"/>
              </w:rPr>
            </w:pPr>
          </w:p>
          <w:p w14:paraId="5F963342" w14:textId="77777777" w:rsidR="00D42092" w:rsidRPr="006874D8" w:rsidRDefault="00D42092" w:rsidP="006874D8">
            <w:pPr>
              <w:pStyle w:val="TabletextrowsAgency"/>
              <w:spacing w:line="240" w:lineRule="auto"/>
              <w:rPr>
                <w:color w:val="FF0000"/>
              </w:rPr>
            </w:pPr>
          </w:p>
          <w:p w14:paraId="2039432B" w14:textId="77777777" w:rsidR="00D42092" w:rsidRPr="006874D8" w:rsidRDefault="00D42092" w:rsidP="006874D8">
            <w:pPr>
              <w:pStyle w:val="TabletextrowsAgency"/>
              <w:spacing w:line="240" w:lineRule="auto"/>
              <w:rPr>
                <w:color w:val="FF0000"/>
              </w:rPr>
            </w:pPr>
          </w:p>
          <w:p w14:paraId="4FD29A71" w14:textId="77777777" w:rsidR="00D42092" w:rsidRPr="006874D8" w:rsidRDefault="00D42092" w:rsidP="006874D8">
            <w:pPr>
              <w:pStyle w:val="TabletextrowsAgency"/>
              <w:spacing w:line="240" w:lineRule="auto"/>
              <w:rPr>
                <w:color w:val="FF0000"/>
              </w:rPr>
            </w:pPr>
          </w:p>
          <w:p w14:paraId="5D7BC860" w14:textId="77777777" w:rsidR="00D42092" w:rsidRPr="006874D8" w:rsidRDefault="00D42092" w:rsidP="006874D8">
            <w:pPr>
              <w:pStyle w:val="TabletextrowsAgency"/>
              <w:spacing w:line="240" w:lineRule="auto"/>
              <w:rPr>
                <w:color w:val="FF0000"/>
              </w:rPr>
            </w:pPr>
          </w:p>
          <w:p w14:paraId="70C2F738" w14:textId="77777777" w:rsidR="00D42092" w:rsidRPr="006874D8" w:rsidRDefault="00D42092" w:rsidP="006874D8">
            <w:pPr>
              <w:pStyle w:val="TabletextrowsAgency"/>
              <w:spacing w:line="240" w:lineRule="auto"/>
              <w:rPr>
                <w:color w:val="FF0000"/>
              </w:rPr>
            </w:pPr>
          </w:p>
          <w:p w14:paraId="02931237" w14:textId="77777777" w:rsidR="00D42092" w:rsidRPr="006874D8" w:rsidRDefault="00D42092" w:rsidP="006874D8">
            <w:pPr>
              <w:pStyle w:val="TabletextrowsAgency"/>
              <w:spacing w:line="240" w:lineRule="auto"/>
              <w:rPr>
                <w:color w:val="FF0000"/>
              </w:rPr>
            </w:pPr>
          </w:p>
          <w:p w14:paraId="5F2E66A0" w14:textId="77777777" w:rsidR="00D42092" w:rsidRPr="006874D8" w:rsidRDefault="00D42092" w:rsidP="006874D8">
            <w:pPr>
              <w:pStyle w:val="TabletextrowsAgency"/>
              <w:spacing w:line="240" w:lineRule="auto"/>
              <w:rPr>
                <w:color w:val="FF0000"/>
              </w:rPr>
            </w:pPr>
          </w:p>
          <w:p w14:paraId="1223ED22" w14:textId="77777777" w:rsidR="00D42092" w:rsidRPr="006874D8" w:rsidRDefault="00D42092" w:rsidP="006874D8">
            <w:pPr>
              <w:pStyle w:val="TabletextrowsAgency"/>
              <w:spacing w:line="240" w:lineRule="auto"/>
              <w:rPr>
                <w:color w:val="FF0000"/>
              </w:rPr>
            </w:pPr>
          </w:p>
          <w:p w14:paraId="074CF624" w14:textId="77777777" w:rsidR="00D42092" w:rsidRPr="006874D8" w:rsidRDefault="00D42092" w:rsidP="006874D8">
            <w:pPr>
              <w:pStyle w:val="TabletextrowsAgency"/>
              <w:spacing w:line="240" w:lineRule="auto"/>
              <w:rPr>
                <w:color w:val="FF0000"/>
              </w:rPr>
            </w:pPr>
          </w:p>
          <w:p w14:paraId="2E8B6CD1" w14:textId="77777777" w:rsidR="00D42092" w:rsidRPr="006874D8" w:rsidRDefault="00D42092" w:rsidP="006874D8">
            <w:pPr>
              <w:pStyle w:val="TabletextrowsAgency"/>
              <w:spacing w:line="240" w:lineRule="auto"/>
              <w:rPr>
                <w:color w:val="FF0000"/>
              </w:rPr>
            </w:pPr>
          </w:p>
          <w:p w14:paraId="35DA4812" w14:textId="77777777" w:rsidR="00D42092" w:rsidRPr="006874D8" w:rsidRDefault="00D42092" w:rsidP="006874D8">
            <w:pPr>
              <w:pStyle w:val="TabletextrowsAgency"/>
              <w:spacing w:line="240" w:lineRule="auto"/>
              <w:rPr>
                <w:color w:val="FF0000"/>
              </w:rPr>
            </w:pPr>
          </w:p>
          <w:p w14:paraId="120BB295" w14:textId="77777777" w:rsidR="00D42092" w:rsidRPr="006874D8" w:rsidRDefault="00D42092" w:rsidP="006874D8">
            <w:pPr>
              <w:pStyle w:val="TabletextrowsAgency"/>
              <w:spacing w:line="240" w:lineRule="auto"/>
              <w:rPr>
                <w:color w:val="FF0000"/>
              </w:rPr>
            </w:pPr>
          </w:p>
          <w:p w14:paraId="65CEC203" w14:textId="77777777" w:rsidR="00D42092" w:rsidRPr="006874D8" w:rsidRDefault="00D42092" w:rsidP="006874D8">
            <w:pPr>
              <w:pStyle w:val="TabletextrowsAgency"/>
              <w:spacing w:line="240" w:lineRule="auto"/>
              <w:rPr>
                <w:color w:val="FF0000"/>
              </w:rPr>
            </w:pPr>
          </w:p>
          <w:p w14:paraId="47F5DCA8" w14:textId="77777777" w:rsidR="00D42092" w:rsidRPr="006874D8" w:rsidRDefault="00D42092" w:rsidP="006874D8">
            <w:pPr>
              <w:pStyle w:val="TabletextrowsAgency"/>
              <w:spacing w:line="240" w:lineRule="auto"/>
              <w:rPr>
                <w:color w:val="FF0000"/>
              </w:rPr>
            </w:pPr>
          </w:p>
          <w:p w14:paraId="3E1F04A1" w14:textId="77777777" w:rsidR="00883A70" w:rsidRPr="006874D8" w:rsidRDefault="00883A70" w:rsidP="006874D8">
            <w:pPr>
              <w:pStyle w:val="TabletextrowsAgency"/>
              <w:spacing w:line="240" w:lineRule="auto"/>
              <w:rPr>
                <w:color w:val="FF0000"/>
              </w:rPr>
            </w:pPr>
          </w:p>
          <w:p w14:paraId="47016809" w14:textId="77777777" w:rsidR="00883A70" w:rsidRPr="006874D8" w:rsidRDefault="00883A70" w:rsidP="006874D8">
            <w:pPr>
              <w:pStyle w:val="TabletextrowsAgency"/>
              <w:spacing w:line="240" w:lineRule="auto"/>
              <w:rPr>
                <w:color w:val="FF0000"/>
              </w:rPr>
            </w:pPr>
          </w:p>
          <w:p w14:paraId="1C00E90E" w14:textId="77777777" w:rsidR="00883A70" w:rsidRPr="006874D8" w:rsidRDefault="00883A70" w:rsidP="006874D8">
            <w:pPr>
              <w:pStyle w:val="TabletextrowsAgency"/>
              <w:spacing w:line="240" w:lineRule="auto"/>
              <w:rPr>
                <w:color w:val="FF0000"/>
              </w:rPr>
            </w:pPr>
          </w:p>
          <w:p w14:paraId="69F97202" w14:textId="77777777" w:rsidR="00883A70" w:rsidRPr="006874D8" w:rsidRDefault="00883A70" w:rsidP="006874D8">
            <w:pPr>
              <w:pStyle w:val="TabletextrowsAgency"/>
              <w:spacing w:line="240" w:lineRule="auto"/>
              <w:rPr>
                <w:color w:val="FF0000"/>
              </w:rPr>
            </w:pPr>
          </w:p>
          <w:p w14:paraId="2197B236" w14:textId="77777777" w:rsidR="00883A70" w:rsidRPr="006874D8" w:rsidRDefault="00883A70" w:rsidP="006874D8">
            <w:pPr>
              <w:pStyle w:val="TabletextrowsAgency"/>
              <w:spacing w:line="240" w:lineRule="auto"/>
              <w:rPr>
                <w:color w:val="FF0000"/>
              </w:rPr>
            </w:pPr>
          </w:p>
          <w:p w14:paraId="539C8248" w14:textId="77777777" w:rsidR="00883A70" w:rsidRPr="006874D8" w:rsidRDefault="00883A70" w:rsidP="006874D8">
            <w:pPr>
              <w:pStyle w:val="TabletextrowsAgency"/>
              <w:spacing w:line="240" w:lineRule="auto"/>
              <w:rPr>
                <w:color w:val="FF0000"/>
              </w:rPr>
            </w:pPr>
          </w:p>
          <w:p w14:paraId="363ED4A1" w14:textId="77777777" w:rsidR="00883A70" w:rsidRPr="006874D8" w:rsidRDefault="00883A70" w:rsidP="006874D8">
            <w:pPr>
              <w:pStyle w:val="TabletextrowsAgency"/>
              <w:spacing w:line="240" w:lineRule="auto"/>
              <w:rPr>
                <w:color w:val="FF0000"/>
              </w:rPr>
            </w:pPr>
          </w:p>
          <w:p w14:paraId="2370017A" w14:textId="77777777" w:rsidR="00883A70" w:rsidRPr="006874D8" w:rsidRDefault="00883A70" w:rsidP="006874D8">
            <w:pPr>
              <w:pStyle w:val="TabletextrowsAgency"/>
              <w:spacing w:line="240" w:lineRule="auto"/>
              <w:rPr>
                <w:color w:val="FF0000"/>
              </w:rPr>
            </w:pPr>
          </w:p>
          <w:p w14:paraId="1AF568C2" w14:textId="77777777" w:rsidR="00883A70" w:rsidRPr="006874D8" w:rsidRDefault="00883A70" w:rsidP="006874D8">
            <w:pPr>
              <w:pStyle w:val="TabletextrowsAgency"/>
              <w:spacing w:line="240" w:lineRule="auto"/>
              <w:rPr>
                <w:color w:val="FF0000"/>
              </w:rPr>
            </w:pPr>
          </w:p>
          <w:p w14:paraId="53C0A03C" w14:textId="77777777" w:rsidR="00883A70" w:rsidRPr="006874D8" w:rsidRDefault="00883A70" w:rsidP="006874D8">
            <w:pPr>
              <w:pStyle w:val="TabletextrowsAgency"/>
              <w:spacing w:line="240" w:lineRule="auto"/>
              <w:rPr>
                <w:color w:val="FF0000"/>
              </w:rPr>
            </w:pPr>
          </w:p>
          <w:p w14:paraId="1FCFFBC2" w14:textId="77777777" w:rsidR="00883A70" w:rsidRPr="006874D8" w:rsidRDefault="00883A70" w:rsidP="006874D8">
            <w:pPr>
              <w:pStyle w:val="TabletextrowsAgency"/>
              <w:spacing w:line="240" w:lineRule="auto"/>
              <w:rPr>
                <w:color w:val="FF0000"/>
              </w:rPr>
            </w:pPr>
          </w:p>
          <w:p w14:paraId="08FA12C7" w14:textId="77777777" w:rsidR="00883A70" w:rsidRPr="006874D8" w:rsidRDefault="00883A70" w:rsidP="006874D8">
            <w:pPr>
              <w:pStyle w:val="TabletextrowsAgency"/>
              <w:spacing w:line="240" w:lineRule="auto"/>
              <w:rPr>
                <w:color w:val="FF0000"/>
              </w:rPr>
            </w:pPr>
          </w:p>
          <w:p w14:paraId="7CAF12D6" w14:textId="77777777" w:rsidR="00D42092" w:rsidRPr="006874D8" w:rsidRDefault="00D42092" w:rsidP="006874D8">
            <w:pPr>
              <w:pStyle w:val="TabletextrowsAgency"/>
              <w:spacing w:line="240" w:lineRule="auto"/>
              <w:rPr>
                <w:color w:val="FF0000"/>
              </w:rPr>
            </w:pPr>
          </w:p>
        </w:tc>
      </w:tr>
    </w:tbl>
    <w:p w14:paraId="402E5524" w14:textId="77777777" w:rsidR="005D6621" w:rsidRDefault="005D6621">
      <w:pPr>
        <w:pStyle w:val="BodytextAgency"/>
      </w:pPr>
    </w:p>
    <w:p w14:paraId="4C852AA2"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6006"/>
        <w:gridCol w:w="4471"/>
      </w:tblGrid>
      <w:tr w:rsidR="005D6621" w:rsidRPr="0041662C" w14:paraId="1873AF50" w14:textId="77777777" w:rsidTr="00AA35AB">
        <w:trPr>
          <w:tblHeader/>
        </w:trPr>
        <w:tc>
          <w:tcPr>
            <w:tcW w:w="645" w:type="pct"/>
            <w:tcBorders>
              <w:top w:val="nil"/>
              <w:left w:val="nil"/>
              <w:bottom w:val="nil"/>
              <w:right w:val="nil"/>
            </w:tcBorders>
            <w:shd w:val="clear" w:color="auto" w:fill="003399"/>
          </w:tcPr>
          <w:p w14:paraId="2BC1598D" w14:textId="77777777" w:rsidR="005D6621" w:rsidRPr="0041662C" w:rsidRDefault="005D6621" w:rsidP="0041662C">
            <w:pPr>
              <w:pStyle w:val="TableheadingrowsAgency"/>
              <w:spacing w:after="0" w:line="240" w:lineRule="auto"/>
              <w:rPr>
                <w:b w:val="0"/>
              </w:rPr>
            </w:pPr>
            <w:r w:rsidRPr="0041662C">
              <w:rPr>
                <w:b w:val="0"/>
              </w:rPr>
              <w:t>Line number(s) of the relevant text</w:t>
            </w:r>
          </w:p>
          <w:p w14:paraId="339541C0" w14:textId="77777777" w:rsidR="005D6621" w:rsidRPr="0041662C" w:rsidRDefault="005D6621" w:rsidP="0041662C">
            <w:pPr>
              <w:pStyle w:val="TableheadingrowsAgency"/>
              <w:spacing w:after="0" w:line="240" w:lineRule="auto"/>
              <w:rPr>
                <w:b w:val="0"/>
                <w:i/>
                <w:color w:val="339966"/>
              </w:rPr>
            </w:pPr>
            <w:r w:rsidRPr="0041662C">
              <w:rPr>
                <w:i/>
                <w:color w:val="339966"/>
              </w:rPr>
              <w:t>(e.g. Lines 20-23)</w:t>
            </w:r>
          </w:p>
        </w:tc>
        <w:tc>
          <w:tcPr>
            <w:tcW w:w="812" w:type="pct"/>
            <w:tcBorders>
              <w:top w:val="nil"/>
              <w:left w:val="nil"/>
              <w:bottom w:val="nil"/>
              <w:right w:val="nil"/>
            </w:tcBorders>
            <w:shd w:val="clear" w:color="auto" w:fill="003399"/>
          </w:tcPr>
          <w:p w14:paraId="00084031" w14:textId="77777777" w:rsidR="005D6621" w:rsidRPr="0041662C" w:rsidRDefault="005D6621" w:rsidP="0041662C">
            <w:pPr>
              <w:pStyle w:val="TableheadingrowsAgency"/>
              <w:spacing w:after="0" w:line="240" w:lineRule="auto"/>
              <w:rPr>
                <w:b w:val="0"/>
              </w:rPr>
            </w:pPr>
            <w:r w:rsidRPr="0041662C">
              <w:rPr>
                <w:b w:val="0"/>
              </w:rPr>
              <w:t>Stakeholder number</w:t>
            </w:r>
          </w:p>
          <w:p w14:paraId="57933852" w14:textId="77777777" w:rsidR="005D6621" w:rsidRPr="0041662C" w:rsidRDefault="005D6621" w:rsidP="0041662C">
            <w:pPr>
              <w:pStyle w:val="TableheadingrowsAgency"/>
              <w:spacing w:after="0" w:line="240" w:lineRule="auto"/>
              <w:rPr>
                <w:b w:val="0"/>
              </w:rPr>
            </w:pPr>
            <w:r w:rsidRPr="0041662C">
              <w:rPr>
                <w:i/>
                <w:color w:val="339966"/>
              </w:rPr>
              <w:t>(To be completed by the Agency)</w:t>
            </w:r>
          </w:p>
        </w:tc>
        <w:tc>
          <w:tcPr>
            <w:tcW w:w="2031" w:type="pct"/>
            <w:tcBorders>
              <w:top w:val="nil"/>
              <w:left w:val="nil"/>
              <w:bottom w:val="nil"/>
              <w:right w:val="nil"/>
            </w:tcBorders>
            <w:shd w:val="clear" w:color="auto" w:fill="003399"/>
          </w:tcPr>
          <w:p w14:paraId="45E47530" w14:textId="77777777" w:rsidR="005D6621" w:rsidRPr="0041662C" w:rsidRDefault="005D6621" w:rsidP="0041662C">
            <w:pPr>
              <w:pStyle w:val="TableheadingrowsAgency"/>
              <w:spacing w:after="0" w:line="240" w:lineRule="auto"/>
              <w:rPr>
                <w:b w:val="0"/>
              </w:rPr>
            </w:pPr>
            <w:r w:rsidRPr="0041662C">
              <w:rPr>
                <w:b w:val="0"/>
              </w:rPr>
              <w:t>Comment and rationale; proposed changes</w:t>
            </w:r>
          </w:p>
          <w:p w14:paraId="687079EB" w14:textId="77777777" w:rsidR="005D6621" w:rsidRPr="0041662C" w:rsidRDefault="005D6621" w:rsidP="0041662C">
            <w:pPr>
              <w:pStyle w:val="TableheadingrowsAgency"/>
              <w:spacing w:after="0" w:line="240" w:lineRule="auto"/>
              <w:rPr>
                <w:b w:val="0"/>
                <w:i/>
                <w:color w:val="339966"/>
              </w:rPr>
            </w:pPr>
            <w:r w:rsidRPr="0041662C">
              <w:rPr>
                <w:i/>
                <w:color w:val="339966"/>
              </w:rPr>
              <w:t>(If changes to the wording are suggested, they should be highlighted using 'track changes')</w:t>
            </w:r>
          </w:p>
        </w:tc>
        <w:tc>
          <w:tcPr>
            <w:tcW w:w="1512" w:type="pct"/>
            <w:tcBorders>
              <w:top w:val="nil"/>
              <w:left w:val="nil"/>
              <w:bottom w:val="nil"/>
              <w:right w:val="nil"/>
            </w:tcBorders>
            <w:shd w:val="clear" w:color="auto" w:fill="003399"/>
          </w:tcPr>
          <w:p w14:paraId="3E021126" w14:textId="77777777" w:rsidR="005D6621" w:rsidRPr="0041662C" w:rsidRDefault="005D6621" w:rsidP="0041662C">
            <w:pPr>
              <w:pStyle w:val="TableheadingrowsAgency"/>
              <w:spacing w:after="0" w:line="240" w:lineRule="auto"/>
              <w:rPr>
                <w:b w:val="0"/>
              </w:rPr>
            </w:pPr>
            <w:r w:rsidRPr="0041662C">
              <w:rPr>
                <w:b w:val="0"/>
              </w:rPr>
              <w:t>Outcome</w:t>
            </w:r>
          </w:p>
          <w:p w14:paraId="7058C468" w14:textId="77777777" w:rsidR="005D6621" w:rsidRPr="0041662C" w:rsidRDefault="005D6621" w:rsidP="0041662C">
            <w:pPr>
              <w:pStyle w:val="TableheadingrowsAgency"/>
              <w:spacing w:after="0" w:line="240" w:lineRule="auto"/>
              <w:rPr>
                <w:b w:val="0"/>
              </w:rPr>
            </w:pPr>
            <w:r w:rsidRPr="0041662C">
              <w:rPr>
                <w:i/>
                <w:color w:val="339966"/>
              </w:rPr>
              <w:t>(To be completed by the Agency)</w:t>
            </w:r>
          </w:p>
        </w:tc>
      </w:tr>
      <w:tr w:rsidR="00191360" w:rsidRPr="0041662C" w14:paraId="601E3844" w14:textId="77777777" w:rsidTr="00191360">
        <w:tc>
          <w:tcPr>
            <w:tcW w:w="645" w:type="pct"/>
            <w:tcBorders>
              <w:top w:val="single" w:sz="4" w:space="0" w:color="FFFFFF"/>
              <w:left w:val="single" w:sz="4" w:space="0" w:color="FFFFFF"/>
              <w:bottom w:val="single" w:sz="6" w:space="0" w:color="FFFFFF"/>
              <w:right w:val="single" w:sz="6" w:space="0" w:color="FFFFFF"/>
            </w:tcBorders>
            <w:shd w:val="clear" w:color="auto" w:fill="E1E3F2"/>
          </w:tcPr>
          <w:p w14:paraId="29194856" w14:textId="77777777" w:rsidR="00191360" w:rsidRPr="0041662C" w:rsidRDefault="00191360" w:rsidP="0041662C">
            <w:r w:rsidRPr="0041662C">
              <w:t>41-42 and 97-99</w:t>
            </w:r>
          </w:p>
        </w:tc>
        <w:tc>
          <w:tcPr>
            <w:tcW w:w="812" w:type="pct"/>
            <w:tcBorders>
              <w:top w:val="single" w:sz="4" w:space="0" w:color="FFFFFF"/>
              <w:left w:val="single" w:sz="6" w:space="0" w:color="FFFFFF"/>
              <w:bottom w:val="single" w:sz="6" w:space="0" w:color="FFFFFF"/>
              <w:right w:val="single" w:sz="6" w:space="0" w:color="FFFFFF"/>
            </w:tcBorders>
            <w:shd w:val="clear" w:color="auto" w:fill="E1E3F2"/>
          </w:tcPr>
          <w:p w14:paraId="49F8CE87" w14:textId="77777777" w:rsidR="00191360" w:rsidRPr="0041662C" w:rsidRDefault="006075CC" w:rsidP="0041662C">
            <w:pPr>
              <w:rPr>
                <w:b/>
              </w:rPr>
            </w:pPr>
            <w:r w:rsidRPr="0041662C">
              <w:rPr>
                <w:b/>
              </w:rPr>
              <w:t xml:space="preserve"> </w:t>
            </w:r>
          </w:p>
        </w:tc>
        <w:tc>
          <w:tcPr>
            <w:tcW w:w="2031" w:type="pct"/>
            <w:tcBorders>
              <w:top w:val="single" w:sz="4" w:space="0" w:color="FFFFFF"/>
              <w:left w:val="single" w:sz="6" w:space="0" w:color="FFFFFF"/>
              <w:bottom w:val="single" w:sz="6" w:space="0" w:color="FFFFFF"/>
              <w:right w:val="single" w:sz="6" w:space="0" w:color="FFFFFF"/>
            </w:tcBorders>
            <w:shd w:val="clear" w:color="auto" w:fill="E1E3F2"/>
          </w:tcPr>
          <w:p w14:paraId="6917EF3A" w14:textId="77777777" w:rsidR="00191360" w:rsidRPr="0041662C" w:rsidRDefault="00191360" w:rsidP="0041662C">
            <w:pPr>
              <w:rPr>
                <w:b/>
              </w:rPr>
            </w:pPr>
            <w:r w:rsidRPr="0041662C">
              <w:rPr>
                <w:b/>
              </w:rPr>
              <w:t xml:space="preserve">Comment: </w:t>
            </w:r>
          </w:p>
          <w:p w14:paraId="56416A45" w14:textId="77777777" w:rsidR="00191360" w:rsidRPr="0041662C" w:rsidRDefault="00191360" w:rsidP="0041662C">
            <w:r w:rsidRPr="0041662C">
              <w:t>Even if assay sensitivity can be demonstrated, the dose-response may be so weak that a formal RDP analysis is difficult. Moreover, the current guideline has a vague expression regarding R</w:t>
            </w:r>
            <w:r w:rsidR="008256FD">
              <w:t xml:space="preserve">elative </w:t>
            </w:r>
            <w:r w:rsidRPr="0041662C">
              <w:t>D</w:t>
            </w:r>
            <w:r w:rsidR="008256FD">
              <w:t xml:space="preserve">ose </w:t>
            </w:r>
            <w:r w:rsidRPr="0041662C">
              <w:t>P</w:t>
            </w:r>
            <w:r w:rsidR="008256FD">
              <w:t>otency</w:t>
            </w:r>
            <w:r w:rsidRPr="0041662C">
              <w:t>: “</w:t>
            </w:r>
            <w:r w:rsidRPr="008256FD">
              <w:rPr>
                <w:i/>
              </w:rPr>
              <w:t>The acceptance criteria for relative potency should lie entirely within 0.67 to 1.5</w:t>
            </w:r>
            <w:r w:rsidRPr="0041662C">
              <w:t>”. It is not clear that this refers to a 90% confidence interval.</w:t>
            </w:r>
          </w:p>
          <w:p w14:paraId="2696CFFB" w14:textId="77777777" w:rsidR="00191360" w:rsidRPr="0041662C" w:rsidRDefault="00191360" w:rsidP="0041662C">
            <w:pPr>
              <w:rPr>
                <w:b/>
              </w:rPr>
            </w:pPr>
          </w:p>
          <w:p w14:paraId="02B58DC7" w14:textId="77777777" w:rsidR="00191360" w:rsidRPr="0041662C" w:rsidRDefault="00191360" w:rsidP="0041662C">
            <w:pPr>
              <w:rPr>
                <w:b/>
              </w:rPr>
            </w:pPr>
            <w:r w:rsidRPr="0041662C">
              <w:rPr>
                <w:b/>
              </w:rPr>
              <w:t xml:space="preserve">Proposed change (if any): </w:t>
            </w:r>
          </w:p>
          <w:p w14:paraId="0A0CCA9C" w14:textId="77777777" w:rsidR="00191360" w:rsidRPr="00767BC3" w:rsidRDefault="00191360" w:rsidP="0041662C">
            <w:r w:rsidRPr="0041662C">
              <w:t>The condition for the RDP analysis should be clarified. Moreover, attention should be paid to the situation with a weak dose-response. Alternative criteria might address only comparisons on the efficacy scale.</w:t>
            </w:r>
          </w:p>
        </w:tc>
        <w:tc>
          <w:tcPr>
            <w:tcW w:w="1512" w:type="pct"/>
            <w:tcBorders>
              <w:top w:val="single" w:sz="4" w:space="0" w:color="FFFFFF"/>
              <w:left w:val="single" w:sz="6" w:space="0" w:color="FFFFFF"/>
              <w:bottom w:val="single" w:sz="6" w:space="0" w:color="FFFFFF"/>
              <w:right w:val="single" w:sz="4" w:space="0" w:color="FFFFFF"/>
            </w:tcBorders>
            <w:shd w:val="clear" w:color="auto" w:fill="E1E3F2"/>
          </w:tcPr>
          <w:p w14:paraId="27C588CF" w14:textId="77777777" w:rsidR="001D185D" w:rsidRPr="0041662C" w:rsidRDefault="008256FD" w:rsidP="0041662C">
            <w:r>
              <w:t xml:space="preserve"> </w:t>
            </w:r>
          </w:p>
        </w:tc>
      </w:tr>
      <w:tr w:rsidR="004434E5" w:rsidRPr="0041662C" w14:paraId="6684FAE3" w14:textId="77777777" w:rsidTr="004434E5">
        <w:tc>
          <w:tcPr>
            <w:tcW w:w="645" w:type="pct"/>
            <w:tcBorders>
              <w:top w:val="single" w:sz="4" w:space="0" w:color="FFFFFF"/>
              <w:left w:val="single" w:sz="4" w:space="0" w:color="FFFFFF"/>
              <w:bottom w:val="single" w:sz="6" w:space="0" w:color="FFFFFF"/>
              <w:right w:val="single" w:sz="6" w:space="0" w:color="FFFFFF"/>
            </w:tcBorders>
            <w:shd w:val="clear" w:color="auto" w:fill="E1E3F2"/>
          </w:tcPr>
          <w:p w14:paraId="026179D0" w14:textId="77777777" w:rsidR="004434E5" w:rsidRPr="0041662C" w:rsidRDefault="004434E5" w:rsidP="0041662C">
            <w:r w:rsidRPr="0041662C">
              <w:t>49-51</w:t>
            </w:r>
          </w:p>
        </w:tc>
        <w:tc>
          <w:tcPr>
            <w:tcW w:w="812" w:type="pct"/>
            <w:tcBorders>
              <w:top w:val="single" w:sz="4" w:space="0" w:color="FFFFFF"/>
              <w:left w:val="single" w:sz="6" w:space="0" w:color="FFFFFF"/>
              <w:bottom w:val="single" w:sz="6" w:space="0" w:color="FFFFFF"/>
              <w:right w:val="single" w:sz="6" w:space="0" w:color="FFFFFF"/>
            </w:tcBorders>
            <w:shd w:val="clear" w:color="auto" w:fill="E1E3F2"/>
          </w:tcPr>
          <w:p w14:paraId="708AC7F9" w14:textId="77777777" w:rsidR="004434E5" w:rsidRPr="0041662C" w:rsidRDefault="004434E5" w:rsidP="0041662C">
            <w:pPr>
              <w:rPr>
                <w:b/>
              </w:rPr>
            </w:pPr>
          </w:p>
        </w:tc>
        <w:tc>
          <w:tcPr>
            <w:tcW w:w="2031" w:type="pct"/>
            <w:tcBorders>
              <w:top w:val="single" w:sz="4" w:space="0" w:color="FFFFFF"/>
              <w:left w:val="single" w:sz="6" w:space="0" w:color="FFFFFF"/>
              <w:bottom w:val="single" w:sz="6" w:space="0" w:color="FFFFFF"/>
              <w:right w:val="single" w:sz="6" w:space="0" w:color="FFFFFF"/>
            </w:tcBorders>
            <w:shd w:val="clear" w:color="auto" w:fill="E1E3F2"/>
          </w:tcPr>
          <w:p w14:paraId="17268A22" w14:textId="77777777" w:rsidR="00767BC3" w:rsidRDefault="004434E5" w:rsidP="0041662C">
            <w:pPr>
              <w:rPr>
                <w:b/>
              </w:rPr>
            </w:pPr>
            <w:r w:rsidRPr="0041662C">
              <w:rPr>
                <w:b/>
              </w:rPr>
              <w:t xml:space="preserve">Comment: </w:t>
            </w:r>
          </w:p>
          <w:p w14:paraId="3C8DE955" w14:textId="77777777" w:rsidR="004434E5" w:rsidRPr="0041662C" w:rsidRDefault="00EA3AD3" w:rsidP="00EA3AD3">
            <w:pPr>
              <w:rPr>
                <w:b/>
              </w:rPr>
            </w:pPr>
            <w:r>
              <w:t>It is proposed to add</w:t>
            </w:r>
            <w:r w:rsidR="004434E5" w:rsidRPr="0041662C">
              <w:t xml:space="preserve"> mist inhalers </w:t>
            </w:r>
            <w:r w:rsidR="001D185D" w:rsidRPr="00EA3AD3">
              <w:t xml:space="preserve">to DPIs and </w:t>
            </w:r>
            <w:proofErr w:type="spellStart"/>
            <w:r w:rsidR="001D185D" w:rsidRPr="00EA3AD3">
              <w:t>pMDIs</w:t>
            </w:r>
            <w:proofErr w:type="spellEnd"/>
            <w:r w:rsidR="001D185D" w:rsidRPr="0041662C">
              <w:rPr>
                <w:b/>
              </w:rPr>
              <w:t xml:space="preserve"> </w:t>
            </w:r>
            <w:r w:rsidR="008A78A6">
              <w:t xml:space="preserve">as these forms can also </w:t>
            </w:r>
            <w:r>
              <w:t xml:space="preserve">be useful and </w:t>
            </w:r>
            <w:r w:rsidR="008A78A6">
              <w:t>possibly developed</w:t>
            </w:r>
            <w:r>
              <w:t>.</w:t>
            </w:r>
          </w:p>
        </w:tc>
        <w:tc>
          <w:tcPr>
            <w:tcW w:w="1512" w:type="pct"/>
            <w:tcBorders>
              <w:top w:val="single" w:sz="4" w:space="0" w:color="FFFFFF"/>
              <w:left w:val="single" w:sz="6" w:space="0" w:color="FFFFFF"/>
              <w:bottom w:val="single" w:sz="6" w:space="0" w:color="FFFFFF"/>
              <w:right w:val="single" w:sz="4" w:space="0" w:color="FFFFFF"/>
            </w:tcBorders>
            <w:shd w:val="clear" w:color="auto" w:fill="E1E3F2"/>
          </w:tcPr>
          <w:p w14:paraId="2B3D3773" w14:textId="77777777" w:rsidR="001D185D" w:rsidRPr="0041662C" w:rsidRDefault="001D185D" w:rsidP="0041662C"/>
        </w:tc>
      </w:tr>
      <w:tr w:rsidR="0095392C" w:rsidRPr="0041662C" w14:paraId="683968AA" w14:textId="77777777" w:rsidTr="00AA35AB">
        <w:tc>
          <w:tcPr>
            <w:tcW w:w="645" w:type="pct"/>
            <w:tcBorders>
              <w:top w:val="single" w:sz="4" w:space="0" w:color="FFFFFF"/>
            </w:tcBorders>
            <w:shd w:val="clear" w:color="auto" w:fill="E1E3F2"/>
          </w:tcPr>
          <w:p w14:paraId="1699B494" w14:textId="77777777" w:rsidR="0095392C" w:rsidRPr="0041662C" w:rsidRDefault="0095392C" w:rsidP="0041662C">
            <w:r w:rsidRPr="0041662C">
              <w:t>63-65</w:t>
            </w:r>
          </w:p>
        </w:tc>
        <w:tc>
          <w:tcPr>
            <w:tcW w:w="812" w:type="pct"/>
            <w:tcBorders>
              <w:top w:val="single" w:sz="4" w:space="0" w:color="FFFFFF"/>
            </w:tcBorders>
            <w:shd w:val="clear" w:color="auto" w:fill="E1E3F2"/>
          </w:tcPr>
          <w:p w14:paraId="21B14AA3" w14:textId="77777777" w:rsidR="0095392C" w:rsidRPr="0041662C" w:rsidRDefault="0095392C" w:rsidP="0041662C"/>
        </w:tc>
        <w:tc>
          <w:tcPr>
            <w:tcW w:w="2031" w:type="pct"/>
            <w:tcBorders>
              <w:top w:val="single" w:sz="4" w:space="0" w:color="FFFFFF"/>
            </w:tcBorders>
            <w:shd w:val="clear" w:color="auto" w:fill="E1E3F2"/>
          </w:tcPr>
          <w:p w14:paraId="298923E3" w14:textId="77777777" w:rsidR="0095392C" w:rsidRPr="0041662C" w:rsidRDefault="0095392C" w:rsidP="0041662C">
            <w:pPr>
              <w:rPr>
                <w:b/>
              </w:rPr>
            </w:pPr>
            <w:r w:rsidRPr="0041662C">
              <w:rPr>
                <w:b/>
              </w:rPr>
              <w:t xml:space="preserve">Comment: </w:t>
            </w:r>
          </w:p>
          <w:p w14:paraId="0D3278AF" w14:textId="77777777" w:rsidR="0095392C" w:rsidRPr="0036196E" w:rsidRDefault="0095392C" w:rsidP="0041662C">
            <w:r w:rsidRPr="00155F8D">
              <w:t xml:space="preserve">It </w:t>
            </w:r>
            <w:r w:rsidR="00356524">
              <w:t xml:space="preserve">would be </w:t>
            </w:r>
            <w:r w:rsidR="000D7F4D">
              <w:t>useful to know to which extent the</w:t>
            </w:r>
            <w:r w:rsidRPr="00155F8D">
              <w:t xml:space="preserve"> </w:t>
            </w:r>
            <w:r w:rsidR="00356524">
              <w:t xml:space="preserve">guideline </w:t>
            </w:r>
            <w:r w:rsidR="000D7F4D">
              <w:t>could apply to</w:t>
            </w:r>
            <w:r w:rsidR="00356524">
              <w:t xml:space="preserve"> possible scenarios happening during product de</w:t>
            </w:r>
            <w:r w:rsidR="000D7F4D">
              <w:t xml:space="preserve">velopment, </w:t>
            </w:r>
            <w:proofErr w:type="spellStart"/>
            <w:r w:rsidR="000D7F4D" w:rsidRPr="000D7F4D">
              <w:t>eg</w:t>
            </w:r>
            <w:proofErr w:type="spellEnd"/>
            <w:r w:rsidR="000D7F4D" w:rsidRPr="000D7F4D">
              <w:t xml:space="preserve"> to bridge between two inhalation drug products during clinical development</w:t>
            </w:r>
          </w:p>
        </w:tc>
        <w:tc>
          <w:tcPr>
            <w:tcW w:w="1512" w:type="pct"/>
            <w:tcBorders>
              <w:top w:val="single" w:sz="4" w:space="0" w:color="FFFFFF"/>
            </w:tcBorders>
            <w:shd w:val="clear" w:color="auto" w:fill="E1E3F2"/>
          </w:tcPr>
          <w:p w14:paraId="644C9469" w14:textId="77777777" w:rsidR="00A8290A" w:rsidRDefault="00A8290A" w:rsidP="002A1FBA"/>
          <w:p w14:paraId="68E65AE1" w14:textId="77777777" w:rsidR="000D7F4D" w:rsidRPr="00512042" w:rsidRDefault="000D7F4D" w:rsidP="002A1FBA">
            <w:pPr>
              <w:rPr>
                <w:color w:val="00B050"/>
              </w:rPr>
            </w:pPr>
          </w:p>
        </w:tc>
      </w:tr>
      <w:tr w:rsidR="00191360" w:rsidRPr="0041662C" w14:paraId="2A8358BC" w14:textId="77777777" w:rsidTr="00AA35AB">
        <w:tc>
          <w:tcPr>
            <w:tcW w:w="645" w:type="pct"/>
            <w:shd w:val="clear" w:color="auto" w:fill="E1E3F2"/>
          </w:tcPr>
          <w:p w14:paraId="7D71366B" w14:textId="77777777" w:rsidR="00191360" w:rsidRPr="0041662C" w:rsidRDefault="00191360" w:rsidP="0041662C">
            <w:r w:rsidRPr="0041662C">
              <w:t>67-82</w:t>
            </w:r>
          </w:p>
        </w:tc>
        <w:tc>
          <w:tcPr>
            <w:tcW w:w="812" w:type="pct"/>
            <w:shd w:val="clear" w:color="auto" w:fill="E1E3F2"/>
          </w:tcPr>
          <w:p w14:paraId="7B419FF4" w14:textId="77777777" w:rsidR="00191360" w:rsidRPr="0041662C" w:rsidRDefault="00191360" w:rsidP="0041662C">
            <w:pPr>
              <w:rPr>
                <w:b/>
              </w:rPr>
            </w:pPr>
          </w:p>
        </w:tc>
        <w:tc>
          <w:tcPr>
            <w:tcW w:w="2031" w:type="pct"/>
            <w:shd w:val="clear" w:color="auto" w:fill="E1E3F2"/>
          </w:tcPr>
          <w:p w14:paraId="1FA241DD" w14:textId="77777777" w:rsidR="00191360" w:rsidRDefault="00191360" w:rsidP="0041662C">
            <w:pPr>
              <w:pStyle w:val="TabletextrowsAgency"/>
              <w:spacing w:line="240" w:lineRule="auto"/>
              <w:rPr>
                <w:b/>
              </w:rPr>
            </w:pPr>
            <w:r w:rsidRPr="0041662C">
              <w:rPr>
                <w:b/>
              </w:rPr>
              <w:t xml:space="preserve">Comment: </w:t>
            </w:r>
          </w:p>
          <w:p w14:paraId="2EC57641" w14:textId="77777777" w:rsidR="0041662C" w:rsidRDefault="0041662C" w:rsidP="0041662C">
            <w:r w:rsidRPr="0041662C">
              <w:t xml:space="preserve">Criteria on pharmaceutical equivalence reported in CPMP/EWP/4151/00 and </w:t>
            </w:r>
            <w:r w:rsidRPr="0041662C">
              <w:rPr>
                <w:spacing w:val="-1"/>
              </w:rPr>
              <w:t>EME</w:t>
            </w:r>
            <w:r w:rsidRPr="0041662C">
              <w:rPr>
                <w:spacing w:val="1"/>
              </w:rPr>
              <w:t>A</w:t>
            </w:r>
            <w:r w:rsidRPr="0041662C">
              <w:rPr>
                <w:spacing w:val="-1"/>
              </w:rPr>
              <w:t>/CH</w:t>
            </w:r>
            <w:r w:rsidRPr="0041662C">
              <w:rPr>
                <w:spacing w:val="1"/>
              </w:rPr>
              <w:t>M</w:t>
            </w:r>
            <w:r w:rsidRPr="0041662C">
              <w:rPr>
                <w:spacing w:val="-1"/>
              </w:rPr>
              <w:t>P/QWP/</w:t>
            </w:r>
            <w:r w:rsidRPr="0041662C">
              <w:t>49313</w:t>
            </w:r>
            <w:r w:rsidRPr="0041662C">
              <w:rPr>
                <w:spacing w:val="-1"/>
              </w:rPr>
              <w:t>/</w:t>
            </w:r>
            <w:r w:rsidRPr="0041662C">
              <w:t>2</w:t>
            </w:r>
            <w:r w:rsidRPr="0041662C">
              <w:rPr>
                <w:spacing w:val="-2"/>
              </w:rPr>
              <w:t>0</w:t>
            </w:r>
            <w:r w:rsidRPr="0041662C">
              <w:t xml:space="preserve">05 are not superimposable, alignment would be </w:t>
            </w:r>
            <w:r w:rsidR="0036196E">
              <w:t xml:space="preserve">a </w:t>
            </w:r>
            <w:r w:rsidRPr="0041662C">
              <w:t>welcome</w:t>
            </w:r>
            <w:r w:rsidR="0036196E">
              <w:t xml:space="preserve"> addition</w:t>
            </w:r>
            <w:r>
              <w:t>.</w:t>
            </w:r>
          </w:p>
          <w:p w14:paraId="68567394" w14:textId="77777777" w:rsidR="0041662C" w:rsidRPr="0041662C" w:rsidRDefault="0041662C" w:rsidP="0041662C">
            <w:r>
              <w:t>More specifically, a</w:t>
            </w:r>
            <w:r w:rsidRPr="0041662C">
              <w:t xml:space="preserve">s part of the criteria included in section 5 of the current guideline, and which </w:t>
            </w:r>
            <w:r>
              <w:t>must</w:t>
            </w:r>
            <w:r w:rsidRPr="0041662C">
              <w:t xml:space="preserve"> be met to claim similarity, there is the following one:</w:t>
            </w:r>
          </w:p>
          <w:p w14:paraId="579CD80B" w14:textId="77777777" w:rsidR="0041662C" w:rsidRPr="0041662C" w:rsidRDefault="0041662C" w:rsidP="0041662C">
            <w:pPr>
              <w:numPr>
                <w:ilvl w:val="0"/>
                <w:numId w:val="43"/>
              </w:numPr>
              <w:rPr>
                <w:rFonts w:cs="Times New Roman"/>
                <w:lang w:eastAsia="fr-FR"/>
              </w:rPr>
            </w:pPr>
            <w:r w:rsidRPr="0041662C">
              <w:rPr>
                <w:rFonts w:cs="Times New Roman"/>
                <w:lang w:eastAsia="fr-FR"/>
              </w:rPr>
              <w:t xml:space="preserve">The pharmaceutical dosage form is identical (e.g. </w:t>
            </w:r>
            <w:proofErr w:type="spellStart"/>
            <w:r w:rsidRPr="0041662C">
              <w:rPr>
                <w:rFonts w:cs="Times New Roman"/>
                <w:lang w:eastAsia="fr-FR"/>
              </w:rPr>
              <w:t>pMDI</w:t>
            </w:r>
            <w:proofErr w:type="spellEnd"/>
            <w:r w:rsidRPr="0041662C">
              <w:rPr>
                <w:rFonts w:cs="Times New Roman"/>
                <w:lang w:eastAsia="fr-FR"/>
              </w:rPr>
              <w:t xml:space="preserve">, non-pressurised MDI, DPI, etc.). </w:t>
            </w:r>
          </w:p>
          <w:p w14:paraId="371911B0" w14:textId="77777777" w:rsidR="0041662C" w:rsidRPr="0041662C" w:rsidRDefault="0041662C" w:rsidP="0041662C">
            <w:pPr>
              <w:pStyle w:val="TabletextrowsAgency"/>
              <w:spacing w:line="240" w:lineRule="auto"/>
              <w:rPr>
                <w:b/>
              </w:rPr>
            </w:pPr>
          </w:p>
          <w:p w14:paraId="57C851CC" w14:textId="77777777" w:rsidR="00A8469B" w:rsidRPr="00767BC3" w:rsidRDefault="00191360" w:rsidP="0041662C">
            <w:r w:rsidRPr="0041662C">
              <w:t xml:space="preserve">More clarity on what is similarity in handling of different </w:t>
            </w:r>
            <w:r w:rsidRPr="0041662C">
              <w:lastRenderedPageBreak/>
              <w:t>devices during step 1</w:t>
            </w:r>
            <w:r w:rsidR="0041662C">
              <w:t xml:space="preserve"> would be welcome, </w:t>
            </w:r>
            <w:proofErr w:type="spellStart"/>
            <w:r w:rsidR="0041662C">
              <w:t>eg</w:t>
            </w:r>
            <w:proofErr w:type="spellEnd"/>
            <w:r w:rsidR="0041662C">
              <w:t xml:space="preserve"> device testing</w:t>
            </w:r>
            <w:proofErr w:type="gramStart"/>
            <w:r w:rsidR="0041662C">
              <w:t>..</w:t>
            </w:r>
            <w:proofErr w:type="gramEnd"/>
          </w:p>
        </w:tc>
        <w:tc>
          <w:tcPr>
            <w:tcW w:w="1512" w:type="pct"/>
            <w:shd w:val="clear" w:color="auto" w:fill="E1E3F2"/>
          </w:tcPr>
          <w:p w14:paraId="3AF6D62D" w14:textId="77777777" w:rsidR="00594001" w:rsidRPr="0041662C" w:rsidRDefault="00594001" w:rsidP="0041662C"/>
        </w:tc>
      </w:tr>
      <w:tr w:rsidR="004434E5" w:rsidRPr="0041662C" w14:paraId="6DBA6F63" w14:textId="77777777" w:rsidTr="004434E5">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0BEFFCB7" w14:textId="77777777" w:rsidR="004434E5" w:rsidRPr="0041662C" w:rsidRDefault="004434E5" w:rsidP="0041662C">
            <w:r w:rsidRPr="0041662C">
              <w:lastRenderedPageBreak/>
              <w:t>71-76</w:t>
            </w:r>
          </w:p>
          <w:p w14:paraId="10BEB8D9" w14:textId="77777777" w:rsidR="004434E5" w:rsidRPr="0041662C" w:rsidRDefault="004434E5" w:rsidP="0041662C"/>
          <w:p w14:paraId="7FC6116E" w14:textId="77777777" w:rsidR="004434E5" w:rsidRPr="0041662C" w:rsidRDefault="004434E5" w:rsidP="0041662C"/>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6C97966E" w14:textId="77777777" w:rsidR="004434E5" w:rsidRPr="0041662C" w:rsidRDefault="004434E5" w:rsidP="0041662C">
            <w:pPr>
              <w:rPr>
                <w:b/>
              </w:rPr>
            </w:pPr>
          </w:p>
        </w:tc>
        <w:tc>
          <w:tcPr>
            <w:tcW w:w="2031" w:type="pct"/>
            <w:tcBorders>
              <w:top w:val="single" w:sz="6" w:space="0" w:color="FFFFFF"/>
              <w:left w:val="single" w:sz="6" w:space="0" w:color="FFFFFF"/>
              <w:bottom w:val="single" w:sz="6" w:space="0" w:color="FFFFFF"/>
              <w:right w:val="single" w:sz="6" w:space="0" w:color="FFFFFF"/>
            </w:tcBorders>
            <w:shd w:val="clear" w:color="auto" w:fill="E1E3F2"/>
          </w:tcPr>
          <w:p w14:paraId="0E72E257" w14:textId="77777777" w:rsidR="00C56051" w:rsidRPr="0041662C" w:rsidRDefault="00C56051" w:rsidP="00C56051">
            <w:pPr>
              <w:rPr>
                <w:b/>
              </w:rPr>
            </w:pPr>
            <w:r w:rsidRPr="0041662C">
              <w:rPr>
                <w:b/>
              </w:rPr>
              <w:t xml:space="preserve">Comment: </w:t>
            </w:r>
          </w:p>
          <w:p w14:paraId="6861D821" w14:textId="77777777" w:rsidR="004434E5" w:rsidRPr="0041662C" w:rsidRDefault="00404BDB" w:rsidP="00FE30A5">
            <w:r w:rsidRPr="00FE30A5">
              <w:t xml:space="preserve">While the </w:t>
            </w:r>
            <w:r w:rsidR="00FE30A5">
              <w:t xml:space="preserve">specific in vitro </w:t>
            </w:r>
            <w:r w:rsidRPr="00FE30A5">
              <w:t xml:space="preserve">criteria may not be sufficient to demonstrate therapeutic equivalence, they are relevant and should be assessed in the context of the totality of </w:t>
            </w:r>
            <w:r w:rsidR="00D94EEE" w:rsidRPr="00FE30A5">
              <w:t xml:space="preserve">the </w:t>
            </w:r>
            <w:r w:rsidRPr="00FE30A5">
              <w:t>data, including PK and PD data as relevant for the product in question, to establish therapeutic equivalence</w:t>
            </w:r>
          </w:p>
        </w:tc>
        <w:tc>
          <w:tcPr>
            <w:tcW w:w="1512" w:type="pct"/>
            <w:tcBorders>
              <w:top w:val="single" w:sz="6" w:space="0" w:color="FFFFFF"/>
              <w:left w:val="single" w:sz="6" w:space="0" w:color="FFFFFF"/>
              <w:bottom w:val="single" w:sz="6" w:space="0" w:color="FFFFFF"/>
              <w:right w:val="single" w:sz="4" w:space="0" w:color="FFFFFF"/>
            </w:tcBorders>
            <w:shd w:val="clear" w:color="auto" w:fill="E1E3F2"/>
          </w:tcPr>
          <w:p w14:paraId="0CAD507E" w14:textId="77777777" w:rsidR="00A74AC8" w:rsidRPr="0041662C" w:rsidRDefault="00A74AC8" w:rsidP="0041662C">
            <w:pPr>
              <w:rPr>
                <w:color w:val="FF0000"/>
              </w:rPr>
            </w:pPr>
          </w:p>
          <w:p w14:paraId="6FF5B7D4" w14:textId="77777777" w:rsidR="00A74AC8" w:rsidRPr="0041662C" w:rsidRDefault="0041662C" w:rsidP="0041662C">
            <w:pPr>
              <w:rPr>
                <w:color w:val="FF0000"/>
              </w:rPr>
            </w:pPr>
            <w:r>
              <w:rPr>
                <w:color w:val="FF0000"/>
              </w:rPr>
              <w:t xml:space="preserve"> </w:t>
            </w:r>
          </w:p>
          <w:p w14:paraId="409A39D9" w14:textId="77777777" w:rsidR="00A74AC8" w:rsidRPr="0041662C" w:rsidRDefault="00A74AC8" w:rsidP="0041662C"/>
          <w:p w14:paraId="77AA2128" w14:textId="77777777" w:rsidR="00A74AC8" w:rsidRPr="0041662C" w:rsidRDefault="00A74AC8" w:rsidP="0041662C"/>
          <w:p w14:paraId="54C6E7E0" w14:textId="77777777" w:rsidR="006D3D90" w:rsidRPr="0041662C" w:rsidRDefault="006D3D90" w:rsidP="00C56051">
            <w:pPr>
              <w:tabs>
                <w:tab w:val="left" w:pos="3175"/>
              </w:tabs>
            </w:pPr>
          </w:p>
        </w:tc>
      </w:tr>
      <w:tr w:rsidR="0095392C" w:rsidRPr="0041662C" w14:paraId="2883DD81" w14:textId="77777777" w:rsidTr="00AA35AB">
        <w:tc>
          <w:tcPr>
            <w:tcW w:w="645" w:type="pct"/>
            <w:shd w:val="clear" w:color="auto" w:fill="E1E3F2"/>
          </w:tcPr>
          <w:p w14:paraId="24502233" w14:textId="77777777" w:rsidR="0095392C" w:rsidRPr="0041662C" w:rsidRDefault="0095392C" w:rsidP="0041662C">
            <w:r w:rsidRPr="0041662C">
              <w:t>71-74</w:t>
            </w:r>
          </w:p>
        </w:tc>
        <w:tc>
          <w:tcPr>
            <w:tcW w:w="812" w:type="pct"/>
            <w:shd w:val="clear" w:color="auto" w:fill="E1E3F2"/>
          </w:tcPr>
          <w:p w14:paraId="313CD479" w14:textId="77777777" w:rsidR="0095392C" w:rsidRPr="0041662C" w:rsidRDefault="0095392C" w:rsidP="0041662C"/>
        </w:tc>
        <w:tc>
          <w:tcPr>
            <w:tcW w:w="2031" w:type="pct"/>
            <w:shd w:val="clear" w:color="auto" w:fill="E1E3F2"/>
          </w:tcPr>
          <w:p w14:paraId="05AFE68D" w14:textId="77777777" w:rsidR="0095392C" w:rsidRPr="0041662C" w:rsidRDefault="0095392C" w:rsidP="0041662C">
            <w:pPr>
              <w:rPr>
                <w:b/>
              </w:rPr>
            </w:pPr>
            <w:r w:rsidRPr="0041662C">
              <w:rPr>
                <w:b/>
              </w:rPr>
              <w:t>Comment:</w:t>
            </w:r>
          </w:p>
          <w:p w14:paraId="482C525D" w14:textId="77777777" w:rsidR="0095392C" w:rsidRPr="0041662C" w:rsidRDefault="0095392C" w:rsidP="0041662C">
            <w:r w:rsidRPr="0041662C">
              <w:t>Criteria to establish appropriate stage groupings should be more clearly described. In particular</w:t>
            </w:r>
            <w:r w:rsidR="001F4C0C">
              <w:t>,</w:t>
            </w:r>
            <w:r w:rsidRPr="0041662C">
              <w:t xml:space="preserve"> it should be clarified how to address the difference in cut-offs of the stages at different flow rates and acceptability of using groupings based on absolute size fractions (e.g. 3-5mcm), rather than impactor stages.</w:t>
            </w:r>
          </w:p>
          <w:p w14:paraId="67609AE4" w14:textId="77777777" w:rsidR="00A8469B" w:rsidRPr="0041662C" w:rsidRDefault="00A8469B" w:rsidP="0041662C"/>
          <w:p w14:paraId="00230642" w14:textId="77777777" w:rsidR="0095392C" w:rsidRPr="0041662C" w:rsidRDefault="0095392C" w:rsidP="0041662C">
            <w:pPr>
              <w:rPr>
                <w:b/>
              </w:rPr>
            </w:pPr>
            <w:r w:rsidRPr="0041662C">
              <w:rPr>
                <w:b/>
              </w:rPr>
              <w:t>Proposed change (if any):</w:t>
            </w:r>
          </w:p>
          <w:p w14:paraId="5AB3B4E4" w14:textId="77777777" w:rsidR="00A8469B" w:rsidRPr="00767BC3" w:rsidRDefault="00074D6C" w:rsidP="0041662C">
            <w:r>
              <w:t>To</w:t>
            </w:r>
            <w:r w:rsidR="0095392C" w:rsidRPr="0041662C">
              <w:t xml:space="preserve"> ensure consistency in the cut-offs selected for groupings across different flow rates, it is proposed to allow selection of groupings based on size fractions (extrapolated by the cumulative undersize distribution)</w:t>
            </w:r>
          </w:p>
        </w:tc>
        <w:tc>
          <w:tcPr>
            <w:tcW w:w="1512" w:type="pct"/>
            <w:shd w:val="clear" w:color="auto" w:fill="E1E3F2"/>
          </w:tcPr>
          <w:p w14:paraId="3B2F8165" w14:textId="77777777" w:rsidR="00402900" w:rsidRPr="0041662C" w:rsidRDefault="00402900" w:rsidP="009C7D8E"/>
        </w:tc>
      </w:tr>
      <w:tr w:rsidR="0095392C" w:rsidRPr="0041662C" w14:paraId="5AE75B46" w14:textId="77777777" w:rsidTr="00AA35AB">
        <w:tc>
          <w:tcPr>
            <w:tcW w:w="645" w:type="pct"/>
            <w:shd w:val="clear" w:color="auto" w:fill="E1E3F2"/>
          </w:tcPr>
          <w:p w14:paraId="65D56139" w14:textId="77777777" w:rsidR="0095392C" w:rsidRPr="0041662C" w:rsidRDefault="0095392C" w:rsidP="0041662C">
            <w:r w:rsidRPr="0041662C">
              <w:t>73</w:t>
            </w:r>
          </w:p>
          <w:p w14:paraId="45FFACDC" w14:textId="77777777" w:rsidR="0095392C" w:rsidRPr="0041662C" w:rsidRDefault="0095392C" w:rsidP="0041662C">
            <w:r w:rsidRPr="0041662C">
              <w:t>92-95</w:t>
            </w:r>
          </w:p>
        </w:tc>
        <w:tc>
          <w:tcPr>
            <w:tcW w:w="812" w:type="pct"/>
            <w:shd w:val="clear" w:color="auto" w:fill="E1E3F2"/>
          </w:tcPr>
          <w:p w14:paraId="7C975600" w14:textId="77777777" w:rsidR="0095392C" w:rsidRPr="0041662C" w:rsidRDefault="0095392C" w:rsidP="0041662C"/>
        </w:tc>
        <w:tc>
          <w:tcPr>
            <w:tcW w:w="2031" w:type="pct"/>
            <w:shd w:val="clear" w:color="auto" w:fill="E1E3F2"/>
          </w:tcPr>
          <w:p w14:paraId="54CB3549" w14:textId="77777777" w:rsidR="0095392C" w:rsidRPr="0041662C" w:rsidRDefault="0095392C" w:rsidP="0041662C">
            <w:pPr>
              <w:rPr>
                <w:b/>
              </w:rPr>
            </w:pPr>
            <w:r w:rsidRPr="0041662C">
              <w:rPr>
                <w:b/>
              </w:rPr>
              <w:t>Comment:</w:t>
            </w:r>
          </w:p>
          <w:p w14:paraId="12C811F5" w14:textId="77777777" w:rsidR="0095392C" w:rsidRPr="0041662C" w:rsidRDefault="0095392C" w:rsidP="0041662C">
            <w:pPr>
              <w:rPr>
                <w:i/>
              </w:rPr>
            </w:pPr>
            <w:r w:rsidRPr="0041662C">
              <w:rPr>
                <w:i/>
              </w:rPr>
              <w:t>Given the inherent and well known intra and inter batch variability of inhalation products, selection of the Test and Reference batches for a formal in-vitro bioequivalence study should not be random but rather based on a careful assessment of their representativeness of the “median product quality”.</w:t>
            </w:r>
          </w:p>
          <w:p w14:paraId="20658EB7" w14:textId="77777777" w:rsidR="0095392C" w:rsidRPr="0041662C" w:rsidRDefault="009C7D8E" w:rsidP="0041662C">
            <w:r>
              <w:t>Reference</w:t>
            </w:r>
            <w:r w:rsidR="0095392C" w:rsidRPr="0041662C">
              <w:t xml:space="preserve"> product should be characterized </w:t>
            </w:r>
            <w:r w:rsidR="0095392C" w:rsidRPr="009C7D8E">
              <w:rPr>
                <w:i/>
              </w:rPr>
              <w:t>in vitro</w:t>
            </w:r>
            <w:r w:rsidR="0095392C" w:rsidRPr="0041662C">
              <w:t xml:space="preserve"> (i.e. FPM) </w:t>
            </w:r>
            <w:r w:rsidRPr="0041662C">
              <w:t>to</w:t>
            </w:r>
            <w:r w:rsidR="0095392C" w:rsidRPr="0041662C">
              <w:t xml:space="preserve"> profile its “quality distribution”.</w:t>
            </w:r>
          </w:p>
          <w:p w14:paraId="7320CA7C" w14:textId="77777777" w:rsidR="0095392C" w:rsidRPr="00C56051" w:rsidRDefault="0095392C" w:rsidP="0041662C">
            <w:r w:rsidRPr="0041662C">
              <w:t>Test product batches should be produced introducing as much variability as possible in terms of raw materials critical quality attributes (e.g. API PSD) to provide a basis for raw material and finished product specification setting.</w:t>
            </w:r>
          </w:p>
          <w:p w14:paraId="4C04E63D" w14:textId="77777777" w:rsidR="00300A1B" w:rsidRPr="0041662C" w:rsidRDefault="00300A1B" w:rsidP="0041662C">
            <w:pPr>
              <w:rPr>
                <w:i/>
              </w:rPr>
            </w:pPr>
          </w:p>
          <w:p w14:paraId="7301A147" w14:textId="77777777" w:rsidR="0095392C" w:rsidRPr="0041662C" w:rsidRDefault="0095392C" w:rsidP="0041662C">
            <w:pPr>
              <w:rPr>
                <w:b/>
              </w:rPr>
            </w:pPr>
            <w:r w:rsidRPr="0041662C">
              <w:rPr>
                <w:b/>
              </w:rPr>
              <w:t xml:space="preserve">Proposed change </w:t>
            </w:r>
            <w:r w:rsidR="00C56051">
              <w:t>taken</w:t>
            </w:r>
            <w:r w:rsidR="00300A1B" w:rsidRPr="0041662C">
              <w:t xml:space="preserve"> from EMA Q&amp;A on quality </w:t>
            </w:r>
            <w:hyperlink r:id="rId13" w:anchor="section8" w:history="1">
              <w:r w:rsidR="00300A1B" w:rsidRPr="0041662C">
                <w:rPr>
                  <w:rStyle w:val="Hyperlink"/>
                </w:rPr>
                <w:t>http://www.ema.europa.eu/ema/index.jsp?curl=pages/regulati</w:t>
              </w:r>
              <w:r w:rsidR="00300A1B" w:rsidRPr="0041662C">
                <w:rPr>
                  <w:rStyle w:val="Hyperlink"/>
                </w:rPr>
                <w:lastRenderedPageBreak/>
                <w:t>on/q_and_a/q_and_a_detail_000072.jsp&amp;mid=WC0b01ac058002c2b0#section8</w:t>
              </w:r>
            </w:hyperlink>
          </w:p>
          <w:p w14:paraId="209508F2" w14:textId="77777777" w:rsidR="0095392C" w:rsidRPr="0041662C" w:rsidRDefault="0095392C" w:rsidP="0041662C">
            <w:pPr>
              <w:shd w:val="clear" w:color="auto" w:fill="FFFFFF"/>
              <w:textAlignment w:val="baseline"/>
              <w:rPr>
                <w:rFonts w:eastAsia="Times New Roman" w:cs="Times New Roman"/>
                <w:color w:val="000000"/>
                <w:lang w:eastAsia="it-IT"/>
              </w:rPr>
            </w:pPr>
            <w:r w:rsidRPr="0041662C">
              <w:rPr>
                <w:rFonts w:eastAsia="Times New Roman" w:cs="Times New Roman"/>
                <w:color w:val="000000"/>
                <w:lang w:eastAsia="it-IT"/>
              </w:rPr>
              <w:t>The batch(</w:t>
            </w:r>
            <w:proofErr w:type="spellStart"/>
            <w:r w:rsidRPr="0041662C">
              <w:rPr>
                <w:rFonts w:eastAsia="Times New Roman" w:cs="Times New Roman"/>
                <w:color w:val="000000"/>
                <w:lang w:eastAsia="it-IT"/>
              </w:rPr>
              <w:t>es</w:t>
            </w:r>
            <w:proofErr w:type="spellEnd"/>
            <w:r w:rsidRPr="0041662C">
              <w:rPr>
                <w:rFonts w:eastAsia="Times New Roman" w:cs="Times New Roman"/>
                <w:color w:val="000000"/>
                <w:lang w:eastAsia="it-IT"/>
              </w:rPr>
              <w:t xml:space="preserve">) of the comparator used in clinical studies should be representative of the commercial batches available on the market, including consideration for different ages or shelf-life of the product. The test product has to be representative of future batches and therefore the specification limits are critical to ensure similar characteristics even at the end of the </w:t>
            </w:r>
            <w:proofErr w:type="gramStart"/>
            <w:r w:rsidRPr="0041662C">
              <w:rPr>
                <w:rFonts w:eastAsia="Times New Roman" w:cs="Times New Roman"/>
                <w:color w:val="000000"/>
                <w:lang w:eastAsia="it-IT"/>
              </w:rPr>
              <w:t>shelf-life</w:t>
            </w:r>
            <w:proofErr w:type="gramEnd"/>
            <w:r w:rsidRPr="0041662C">
              <w:rPr>
                <w:rFonts w:eastAsia="Times New Roman" w:cs="Times New Roman"/>
                <w:color w:val="000000"/>
                <w:lang w:eastAsia="it-IT"/>
              </w:rPr>
              <w:t>.</w:t>
            </w:r>
          </w:p>
          <w:p w14:paraId="1084F1FA" w14:textId="77777777" w:rsidR="0095392C" w:rsidRPr="00767BC3" w:rsidRDefault="0095392C" w:rsidP="00767BC3">
            <w:pPr>
              <w:shd w:val="clear" w:color="auto" w:fill="FFFFFF"/>
              <w:textAlignment w:val="baseline"/>
              <w:rPr>
                <w:rFonts w:eastAsia="Times New Roman" w:cs="Times New Roman"/>
                <w:color w:val="000000"/>
                <w:lang w:val="it-IT" w:eastAsia="it-IT"/>
              </w:rPr>
            </w:pPr>
            <w:r w:rsidRPr="0041662C">
              <w:rPr>
                <w:rFonts w:eastAsia="Times New Roman" w:cs="Times New Roman"/>
                <w:color w:val="000000"/>
                <w:lang w:eastAsia="it-IT"/>
              </w:rPr>
              <w:t>How the representative batch(</w:t>
            </w:r>
            <w:proofErr w:type="spellStart"/>
            <w:r w:rsidRPr="0041662C">
              <w:rPr>
                <w:rFonts w:eastAsia="Times New Roman" w:cs="Times New Roman"/>
                <w:color w:val="000000"/>
                <w:lang w:eastAsia="it-IT"/>
              </w:rPr>
              <w:t>es</w:t>
            </w:r>
            <w:proofErr w:type="spellEnd"/>
            <w:r w:rsidRPr="0041662C">
              <w:rPr>
                <w:rFonts w:eastAsia="Times New Roman" w:cs="Times New Roman"/>
                <w:color w:val="000000"/>
                <w:lang w:eastAsia="it-IT"/>
              </w:rPr>
              <w:t xml:space="preserve">) is chosen should be fully discussed and justified in the dossier, preferably in Module 3. </w:t>
            </w:r>
          </w:p>
        </w:tc>
        <w:tc>
          <w:tcPr>
            <w:tcW w:w="1512" w:type="pct"/>
            <w:shd w:val="clear" w:color="auto" w:fill="E1E3F2"/>
          </w:tcPr>
          <w:p w14:paraId="5743B0ED" w14:textId="77777777" w:rsidR="00EA398D" w:rsidRPr="0041662C" w:rsidRDefault="009C7D8E" w:rsidP="0041662C">
            <w:r>
              <w:rPr>
                <w:color w:val="FF0000"/>
              </w:rPr>
              <w:lastRenderedPageBreak/>
              <w:t xml:space="preserve"> </w:t>
            </w:r>
          </w:p>
        </w:tc>
      </w:tr>
      <w:tr w:rsidR="0095392C" w:rsidRPr="0041662C" w14:paraId="56F5128C" w14:textId="77777777" w:rsidTr="00AA35AB">
        <w:tc>
          <w:tcPr>
            <w:tcW w:w="645" w:type="pct"/>
            <w:shd w:val="clear" w:color="auto" w:fill="E1E3F2"/>
          </w:tcPr>
          <w:p w14:paraId="78A56AD6" w14:textId="77777777" w:rsidR="0095392C" w:rsidRPr="0041662C" w:rsidRDefault="0095392C" w:rsidP="0041662C">
            <w:r w:rsidRPr="0041662C">
              <w:lastRenderedPageBreak/>
              <w:t>71-76</w:t>
            </w:r>
          </w:p>
        </w:tc>
        <w:tc>
          <w:tcPr>
            <w:tcW w:w="812" w:type="pct"/>
            <w:shd w:val="clear" w:color="auto" w:fill="E1E3F2"/>
          </w:tcPr>
          <w:p w14:paraId="7D008ED9" w14:textId="77777777" w:rsidR="0095392C" w:rsidRPr="0041662C" w:rsidRDefault="0095392C" w:rsidP="0041662C"/>
        </w:tc>
        <w:tc>
          <w:tcPr>
            <w:tcW w:w="2031" w:type="pct"/>
            <w:shd w:val="clear" w:color="auto" w:fill="E1E3F2"/>
          </w:tcPr>
          <w:p w14:paraId="19750575" w14:textId="77777777" w:rsidR="0095392C" w:rsidRPr="0041662C" w:rsidRDefault="0095392C" w:rsidP="0041662C">
            <w:pPr>
              <w:rPr>
                <w:b/>
              </w:rPr>
            </w:pPr>
            <w:r w:rsidRPr="0041662C">
              <w:rPr>
                <w:b/>
              </w:rPr>
              <w:t>Comment:</w:t>
            </w:r>
          </w:p>
          <w:p w14:paraId="395F1F43" w14:textId="77777777" w:rsidR="0095392C" w:rsidRPr="0041662C" w:rsidRDefault="0095392C" w:rsidP="0041662C">
            <w:r w:rsidRPr="0041662C">
              <w:t>Guidance on how to evaluate and process in-vitro data to prove therapeutic equivalence between two inhalation products is lacking in the current version of the guideline.</w:t>
            </w:r>
          </w:p>
          <w:p w14:paraId="113F2B4E" w14:textId="77777777" w:rsidR="0095392C" w:rsidRPr="0041662C" w:rsidRDefault="0095392C" w:rsidP="0041662C"/>
          <w:p w14:paraId="3F6CFA45" w14:textId="77777777" w:rsidR="0095392C" w:rsidRPr="0041662C" w:rsidRDefault="0095392C" w:rsidP="0041662C">
            <w:pPr>
              <w:rPr>
                <w:b/>
              </w:rPr>
            </w:pPr>
            <w:r w:rsidRPr="0041662C">
              <w:rPr>
                <w:b/>
              </w:rPr>
              <w:t>Proposed change (if any):</w:t>
            </w:r>
          </w:p>
          <w:p w14:paraId="52CA05FA" w14:textId="77777777" w:rsidR="00A8469B" w:rsidRPr="0041662C" w:rsidRDefault="0095392C" w:rsidP="0041662C">
            <w:r w:rsidRPr="0041662C">
              <w:t>Provide clear and detailed explanation on how to process data to perform an in-vitro bioequivalence study. Explanation can be provided in a dedicated annex. Acceptability of Population BE or Average BE approaches should be clearly stated, including acceptability and/or need of data transformation (e.g. log-transformation for Average BE approach).</w:t>
            </w:r>
          </w:p>
        </w:tc>
        <w:tc>
          <w:tcPr>
            <w:tcW w:w="1512" w:type="pct"/>
            <w:shd w:val="clear" w:color="auto" w:fill="E1E3F2"/>
          </w:tcPr>
          <w:p w14:paraId="2B542AA7" w14:textId="77777777" w:rsidR="0095392C" w:rsidRPr="0041662C" w:rsidRDefault="0095392C" w:rsidP="0041662C"/>
        </w:tc>
      </w:tr>
      <w:tr w:rsidR="00AA35AB" w:rsidRPr="0041662C" w14:paraId="2CCE8D18" w14:textId="77777777" w:rsidTr="00AA35AB">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12D56273" w14:textId="77777777" w:rsidR="00AA35AB" w:rsidRPr="0041662C" w:rsidRDefault="00AA35AB" w:rsidP="0041662C">
            <w:r w:rsidRPr="0041662C">
              <w:t>77</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1F2E843C" w14:textId="77777777" w:rsidR="00AA35AB" w:rsidRPr="0041662C" w:rsidRDefault="00AA35AB" w:rsidP="0041662C">
            <w:pPr>
              <w:rPr>
                <w:b/>
              </w:rPr>
            </w:pPr>
          </w:p>
        </w:tc>
        <w:tc>
          <w:tcPr>
            <w:tcW w:w="2031" w:type="pct"/>
            <w:tcBorders>
              <w:top w:val="single" w:sz="6" w:space="0" w:color="FFFFFF"/>
              <w:left w:val="single" w:sz="6" w:space="0" w:color="FFFFFF"/>
              <w:bottom w:val="single" w:sz="4" w:space="0" w:color="FFFFFF"/>
              <w:right w:val="single" w:sz="6" w:space="0" w:color="FFFFFF"/>
            </w:tcBorders>
            <w:shd w:val="clear" w:color="auto" w:fill="E1E3F2"/>
          </w:tcPr>
          <w:p w14:paraId="5693BCF3" w14:textId="77777777" w:rsidR="00AA35AB" w:rsidRPr="0041662C" w:rsidRDefault="00AA35AB" w:rsidP="0041662C">
            <w:pPr>
              <w:rPr>
                <w:b/>
              </w:rPr>
            </w:pPr>
            <w:r w:rsidRPr="0041662C">
              <w:rPr>
                <w:b/>
              </w:rPr>
              <w:t>Comment:</w:t>
            </w:r>
          </w:p>
          <w:p w14:paraId="7CC4973B" w14:textId="77777777" w:rsidR="00AA35AB" w:rsidRPr="0041662C" w:rsidRDefault="00AA35AB" w:rsidP="0041662C">
            <w:r w:rsidRPr="0041662C">
              <w:t>Can it please be clarified whether this is related to flow dependency? Otherwise, in which scenario would in-vitro data be different between the two indications?</w:t>
            </w:r>
          </w:p>
          <w:p w14:paraId="1CEAB449" w14:textId="77777777" w:rsidR="00AA35AB" w:rsidRPr="0041662C" w:rsidRDefault="00AA35AB" w:rsidP="0041662C"/>
          <w:p w14:paraId="7313261D" w14:textId="77777777" w:rsidR="00AA35AB" w:rsidRPr="0041662C" w:rsidRDefault="00AA35AB" w:rsidP="0041662C">
            <w:pPr>
              <w:rPr>
                <w:b/>
              </w:rPr>
            </w:pPr>
            <w:r w:rsidRPr="0041662C">
              <w:rPr>
                <w:b/>
              </w:rPr>
              <w:t>Proposed change (if any):</w:t>
            </w:r>
          </w:p>
          <w:p w14:paraId="40AA1F52" w14:textId="77777777" w:rsidR="00AA35AB" w:rsidRPr="00FA3F24" w:rsidRDefault="00FA3F24" w:rsidP="0041662C">
            <w:r w:rsidRPr="00FA3F24">
              <w:t>To</w:t>
            </w:r>
            <w:r w:rsidR="008859EF" w:rsidRPr="00FA3F24">
              <w:t xml:space="preserve"> </w:t>
            </w:r>
            <w:r w:rsidR="00AA35AB" w:rsidRPr="00FA3F24">
              <w:t>be clarified</w:t>
            </w:r>
            <w:r w:rsidR="008859EF" w:rsidRPr="00FA3F24">
              <w:t xml:space="preserve"> in revised guideline</w:t>
            </w:r>
          </w:p>
        </w:tc>
        <w:tc>
          <w:tcPr>
            <w:tcW w:w="1512" w:type="pct"/>
            <w:tcBorders>
              <w:top w:val="single" w:sz="6" w:space="0" w:color="FFFFFF"/>
              <w:left w:val="single" w:sz="6" w:space="0" w:color="FFFFFF"/>
              <w:bottom w:val="single" w:sz="4" w:space="0" w:color="FFFFFF"/>
              <w:right w:val="single" w:sz="4" w:space="0" w:color="FFFFFF"/>
            </w:tcBorders>
            <w:shd w:val="clear" w:color="auto" w:fill="E1E3F2"/>
          </w:tcPr>
          <w:p w14:paraId="59805F22" w14:textId="77777777" w:rsidR="00AA35AB" w:rsidRPr="0041662C" w:rsidRDefault="00AA35AB" w:rsidP="0041662C"/>
        </w:tc>
      </w:tr>
      <w:tr w:rsidR="009503B9" w:rsidRPr="003722B6" w14:paraId="21C37F5A" w14:textId="77777777" w:rsidTr="009503B9">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0B07A139" w14:textId="77777777" w:rsidR="009503B9" w:rsidRPr="003722B6" w:rsidRDefault="009503B9" w:rsidP="003722B6">
            <w:r w:rsidRPr="003722B6">
              <w:t>80</w:t>
            </w:r>
          </w:p>
          <w:p w14:paraId="3EC0B078" w14:textId="77777777" w:rsidR="009503B9" w:rsidRPr="003722B6" w:rsidRDefault="009503B9" w:rsidP="003722B6"/>
          <w:p w14:paraId="013EBE3E" w14:textId="77777777" w:rsidR="009503B9" w:rsidRPr="003722B6" w:rsidRDefault="009503B9" w:rsidP="003722B6"/>
          <w:p w14:paraId="5F151169" w14:textId="77777777" w:rsidR="009503B9" w:rsidRPr="003722B6" w:rsidRDefault="009503B9" w:rsidP="003722B6"/>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4649CE86" w14:textId="77777777" w:rsidR="009503B9" w:rsidRPr="003722B6" w:rsidRDefault="00FA3F24" w:rsidP="003722B6">
            <w:pPr>
              <w:rPr>
                <w:b/>
              </w:rPr>
            </w:pPr>
            <w:r w:rsidRPr="003722B6">
              <w:rPr>
                <w:b/>
              </w:rPr>
              <w:t xml:space="preserve"> </w:t>
            </w:r>
          </w:p>
        </w:tc>
        <w:tc>
          <w:tcPr>
            <w:tcW w:w="2031" w:type="pct"/>
            <w:tcBorders>
              <w:top w:val="single" w:sz="6" w:space="0" w:color="FFFFFF"/>
              <w:left w:val="single" w:sz="6" w:space="0" w:color="FFFFFF"/>
              <w:bottom w:val="single" w:sz="4" w:space="0" w:color="FFFFFF"/>
              <w:right w:val="single" w:sz="6" w:space="0" w:color="FFFFFF"/>
            </w:tcBorders>
            <w:shd w:val="clear" w:color="auto" w:fill="E1E3F2"/>
          </w:tcPr>
          <w:p w14:paraId="1884C6C5" w14:textId="24DCC9FD" w:rsidR="003722B6" w:rsidRDefault="003722B6" w:rsidP="003722B6">
            <w:pPr>
              <w:pStyle w:val="Default"/>
              <w:rPr>
                <w:i/>
                <w:sz w:val="18"/>
                <w:szCs w:val="18"/>
              </w:rPr>
            </w:pPr>
            <w:r w:rsidRPr="003722B6">
              <w:rPr>
                <w:sz w:val="18"/>
                <w:szCs w:val="18"/>
              </w:rPr>
              <w:t>‘</w:t>
            </w:r>
            <w:r w:rsidRPr="003722B6">
              <w:rPr>
                <w:i/>
                <w:sz w:val="18"/>
                <w:szCs w:val="18"/>
              </w:rPr>
              <w:t>Specific requirements on data with spacers need to be addressed’</w:t>
            </w:r>
          </w:p>
          <w:p w14:paraId="453DA289" w14:textId="77777777" w:rsidR="003241FC" w:rsidRPr="003722B6" w:rsidRDefault="003241FC" w:rsidP="003722B6">
            <w:pPr>
              <w:pStyle w:val="Default"/>
              <w:rPr>
                <w:sz w:val="18"/>
                <w:szCs w:val="18"/>
              </w:rPr>
            </w:pPr>
          </w:p>
          <w:p w14:paraId="38CA301C" w14:textId="77777777" w:rsidR="009503B9" w:rsidRPr="003722B6" w:rsidRDefault="001145D1" w:rsidP="003722B6">
            <w:pPr>
              <w:rPr>
                <w:b/>
              </w:rPr>
            </w:pPr>
            <w:r w:rsidRPr="003722B6">
              <w:rPr>
                <w:b/>
              </w:rPr>
              <w:t>C</w:t>
            </w:r>
            <w:r w:rsidR="009503B9" w:rsidRPr="003722B6">
              <w:rPr>
                <w:b/>
              </w:rPr>
              <w:t xml:space="preserve">omment: </w:t>
            </w:r>
          </w:p>
          <w:p w14:paraId="3FA47305" w14:textId="77777777" w:rsidR="009503B9" w:rsidRPr="003722B6" w:rsidRDefault="003722B6" w:rsidP="003722B6">
            <w:r>
              <w:t xml:space="preserve">While we welcome this intent, we expect that consistency with the </w:t>
            </w:r>
            <w:r w:rsidR="009503B9" w:rsidRPr="003722B6">
              <w:t xml:space="preserve">‘Quality requirements of medicinal products containing a </w:t>
            </w:r>
            <w:r w:rsidR="009503B9" w:rsidRPr="003722B6">
              <w:lastRenderedPageBreak/>
              <w:t xml:space="preserve">device component for delivery or use of the medicinal product’ </w:t>
            </w:r>
            <w:r w:rsidRPr="003722B6">
              <w:t>(EMA/CHMP/QWP/BWP/661488/2016</w:t>
            </w:r>
            <w:r>
              <w:t>) guideline, which is due for revision, will be ensured</w:t>
            </w:r>
            <w:r w:rsidR="009503B9" w:rsidRPr="003722B6">
              <w:t>.</w:t>
            </w:r>
          </w:p>
        </w:tc>
        <w:tc>
          <w:tcPr>
            <w:tcW w:w="1512" w:type="pct"/>
            <w:tcBorders>
              <w:top w:val="single" w:sz="6" w:space="0" w:color="FFFFFF"/>
              <w:left w:val="single" w:sz="6" w:space="0" w:color="FFFFFF"/>
              <w:bottom w:val="single" w:sz="4" w:space="0" w:color="FFFFFF"/>
              <w:right w:val="single" w:sz="4" w:space="0" w:color="FFFFFF"/>
            </w:tcBorders>
            <w:shd w:val="clear" w:color="auto" w:fill="E1E3F2"/>
          </w:tcPr>
          <w:p w14:paraId="22DD6048" w14:textId="77777777" w:rsidR="00B05D6E" w:rsidRPr="003722B6" w:rsidRDefault="00FA3F24" w:rsidP="00EA3AD3">
            <w:r w:rsidRPr="003722B6">
              <w:lastRenderedPageBreak/>
              <w:t xml:space="preserve"> </w:t>
            </w:r>
          </w:p>
        </w:tc>
      </w:tr>
      <w:tr w:rsidR="00621A78" w:rsidRPr="0041662C" w14:paraId="282B665B" w14:textId="77777777" w:rsidTr="00621A78">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63F96753" w14:textId="77777777" w:rsidR="00621A78" w:rsidRPr="0041662C" w:rsidRDefault="00621A78" w:rsidP="0041662C">
            <w:r w:rsidRPr="0041662C">
              <w:lastRenderedPageBreak/>
              <w:t>84 - 85</w:t>
            </w:r>
          </w:p>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71FDCDDD" w14:textId="77777777" w:rsidR="00621A78" w:rsidRPr="0041662C" w:rsidRDefault="00FA3F24" w:rsidP="0041662C">
            <w:pPr>
              <w:rPr>
                <w:b/>
              </w:rPr>
            </w:pPr>
            <w:r>
              <w:rPr>
                <w:b/>
              </w:rPr>
              <w:t xml:space="preserve"> </w:t>
            </w:r>
          </w:p>
        </w:tc>
        <w:tc>
          <w:tcPr>
            <w:tcW w:w="2031" w:type="pct"/>
            <w:tcBorders>
              <w:top w:val="single" w:sz="6" w:space="0" w:color="FFFFFF"/>
              <w:left w:val="single" w:sz="6" w:space="0" w:color="FFFFFF"/>
              <w:bottom w:val="single" w:sz="4" w:space="0" w:color="FFFFFF"/>
              <w:right w:val="single" w:sz="6" w:space="0" w:color="FFFFFF"/>
            </w:tcBorders>
            <w:shd w:val="clear" w:color="auto" w:fill="E1E3F2"/>
          </w:tcPr>
          <w:p w14:paraId="30CF9B03" w14:textId="77777777" w:rsidR="00621A78" w:rsidRPr="0041662C" w:rsidRDefault="00621A78" w:rsidP="0041662C">
            <w:pPr>
              <w:rPr>
                <w:b/>
              </w:rPr>
            </w:pPr>
            <w:r w:rsidRPr="0041662C">
              <w:rPr>
                <w:b/>
              </w:rPr>
              <w:t>Comment:</w:t>
            </w:r>
          </w:p>
          <w:p w14:paraId="277A8228" w14:textId="77777777" w:rsidR="00621A78" w:rsidRPr="00A76971" w:rsidRDefault="00621A78" w:rsidP="0041662C">
            <w:r w:rsidRPr="00A76971">
              <w:t>In addressing the adequacy of using PK data to demonstrate similar efficacy and safety without the need for additional clinical data, it should be ensured there is clarity and detail associated with molecule dependencies.</w:t>
            </w:r>
          </w:p>
        </w:tc>
        <w:tc>
          <w:tcPr>
            <w:tcW w:w="1512" w:type="pct"/>
            <w:tcBorders>
              <w:top w:val="single" w:sz="6" w:space="0" w:color="FFFFFF"/>
              <w:left w:val="single" w:sz="6" w:space="0" w:color="FFFFFF"/>
              <w:bottom w:val="single" w:sz="4" w:space="0" w:color="FFFFFF"/>
              <w:right w:val="single" w:sz="4" w:space="0" w:color="FFFFFF"/>
            </w:tcBorders>
            <w:shd w:val="clear" w:color="auto" w:fill="E1E3F2"/>
          </w:tcPr>
          <w:p w14:paraId="21DFF79F" w14:textId="77777777" w:rsidR="00621A78" w:rsidRPr="0041662C" w:rsidRDefault="00FA3F24" w:rsidP="0041662C">
            <w:r>
              <w:t xml:space="preserve"> </w:t>
            </w:r>
          </w:p>
        </w:tc>
      </w:tr>
      <w:tr w:rsidR="00B74969" w:rsidRPr="003241FC" w14:paraId="19C7ED13" w14:textId="77777777" w:rsidTr="00B74969">
        <w:tc>
          <w:tcPr>
            <w:tcW w:w="645" w:type="pct"/>
            <w:tcBorders>
              <w:top w:val="single" w:sz="6" w:space="0" w:color="FFFFFF"/>
              <w:left w:val="single" w:sz="4" w:space="0" w:color="FFFFFF"/>
              <w:bottom w:val="single" w:sz="4" w:space="0" w:color="FFFFFF"/>
              <w:right w:val="single" w:sz="6" w:space="0" w:color="FFFFFF"/>
            </w:tcBorders>
            <w:shd w:val="clear" w:color="auto" w:fill="E1E3F2"/>
          </w:tcPr>
          <w:p w14:paraId="24027180" w14:textId="77777777" w:rsidR="00B74969" w:rsidRPr="003241FC" w:rsidRDefault="00B74969" w:rsidP="0041662C">
            <w:r w:rsidRPr="003241FC">
              <w:t xml:space="preserve">91 </w:t>
            </w:r>
          </w:p>
          <w:p w14:paraId="0CC8F712" w14:textId="77777777" w:rsidR="00B74969" w:rsidRPr="003241FC" w:rsidRDefault="00B74969" w:rsidP="0041662C"/>
        </w:tc>
        <w:tc>
          <w:tcPr>
            <w:tcW w:w="812" w:type="pct"/>
            <w:tcBorders>
              <w:top w:val="single" w:sz="6" w:space="0" w:color="FFFFFF"/>
              <w:left w:val="single" w:sz="6" w:space="0" w:color="FFFFFF"/>
              <w:bottom w:val="single" w:sz="4" w:space="0" w:color="FFFFFF"/>
              <w:right w:val="single" w:sz="6" w:space="0" w:color="FFFFFF"/>
            </w:tcBorders>
            <w:shd w:val="clear" w:color="auto" w:fill="E1E3F2"/>
          </w:tcPr>
          <w:p w14:paraId="14BB3087" w14:textId="77777777" w:rsidR="00B74969" w:rsidRPr="003241FC" w:rsidRDefault="00B74969" w:rsidP="0041662C">
            <w:pPr>
              <w:rPr>
                <w:b/>
              </w:rPr>
            </w:pPr>
          </w:p>
        </w:tc>
        <w:tc>
          <w:tcPr>
            <w:tcW w:w="2031" w:type="pct"/>
            <w:tcBorders>
              <w:top w:val="single" w:sz="6" w:space="0" w:color="FFFFFF"/>
              <w:left w:val="single" w:sz="6" w:space="0" w:color="FFFFFF"/>
              <w:bottom w:val="single" w:sz="4" w:space="0" w:color="FFFFFF"/>
              <w:right w:val="single" w:sz="6" w:space="0" w:color="FFFFFF"/>
            </w:tcBorders>
            <w:shd w:val="clear" w:color="auto" w:fill="E1E3F2"/>
          </w:tcPr>
          <w:p w14:paraId="6C416D5A" w14:textId="77777777" w:rsidR="003722B6" w:rsidRPr="003241FC" w:rsidRDefault="003722B6" w:rsidP="003722B6">
            <w:pPr>
              <w:pStyle w:val="Default"/>
              <w:rPr>
                <w:sz w:val="18"/>
                <w:szCs w:val="18"/>
              </w:rPr>
            </w:pPr>
            <w:r w:rsidRPr="003241FC">
              <w:rPr>
                <w:sz w:val="18"/>
                <w:szCs w:val="18"/>
              </w:rPr>
              <w:t>‘Requirements for PK data on spacers and nebulisers should be reviewed’.</w:t>
            </w:r>
          </w:p>
          <w:p w14:paraId="250D0C62" w14:textId="77777777" w:rsidR="00EA3AD3" w:rsidRPr="003241FC" w:rsidRDefault="00EA3AD3" w:rsidP="003722B6">
            <w:pPr>
              <w:pStyle w:val="Default"/>
              <w:rPr>
                <w:sz w:val="18"/>
                <w:szCs w:val="18"/>
              </w:rPr>
            </w:pPr>
          </w:p>
          <w:p w14:paraId="00A0DAA8" w14:textId="77777777" w:rsidR="00B74969" w:rsidRPr="003241FC" w:rsidRDefault="00B74969" w:rsidP="0041662C">
            <w:pPr>
              <w:rPr>
                <w:b/>
              </w:rPr>
            </w:pPr>
            <w:r w:rsidRPr="003241FC">
              <w:rPr>
                <w:b/>
              </w:rPr>
              <w:t xml:space="preserve">Comment: </w:t>
            </w:r>
          </w:p>
          <w:p w14:paraId="35F10459" w14:textId="77777777" w:rsidR="00B74969" w:rsidRPr="003241FC" w:rsidRDefault="003722B6" w:rsidP="0041662C">
            <w:r w:rsidRPr="003241FC">
              <w:t xml:space="preserve">We welcome this </w:t>
            </w:r>
            <w:r w:rsidR="00EA3AD3" w:rsidRPr="003241FC">
              <w:t xml:space="preserve">proposed </w:t>
            </w:r>
            <w:r w:rsidRPr="003241FC">
              <w:t xml:space="preserve">revision since </w:t>
            </w:r>
            <w:r w:rsidR="00B74969" w:rsidRPr="003241FC">
              <w:t>space</w:t>
            </w:r>
            <w:r w:rsidR="00DB5025" w:rsidRPr="003241FC">
              <w:t>r</w:t>
            </w:r>
            <w:r w:rsidRPr="003241FC">
              <w:t xml:space="preserve"> and nebulisers have been shown to be </w:t>
            </w:r>
            <w:r w:rsidR="00DB5025" w:rsidRPr="003241FC">
              <w:t>useful in some specific patients’ populations</w:t>
            </w:r>
            <w:r w:rsidR="00EA3AD3" w:rsidRPr="003241FC">
              <w:t xml:space="preserve"> and circumstances</w:t>
            </w:r>
            <w:r w:rsidR="00DB5025" w:rsidRPr="003241FC">
              <w:t xml:space="preserve">. When needed, </w:t>
            </w:r>
            <w:r w:rsidR="00B74969" w:rsidRPr="003241FC">
              <w:t xml:space="preserve">PK with the spacer should be studied for the new product to ensure that the interaction between </w:t>
            </w:r>
            <w:r w:rsidR="00DB5025" w:rsidRPr="003241FC">
              <w:t xml:space="preserve">the </w:t>
            </w:r>
            <w:r w:rsidR="00B74969" w:rsidRPr="003241FC">
              <w:t>device and spacer can be reproduced.</w:t>
            </w:r>
          </w:p>
        </w:tc>
        <w:tc>
          <w:tcPr>
            <w:tcW w:w="1512" w:type="pct"/>
            <w:tcBorders>
              <w:top w:val="single" w:sz="6" w:space="0" w:color="FFFFFF"/>
              <w:left w:val="single" w:sz="6" w:space="0" w:color="FFFFFF"/>
              <w:bottom w:val="single" w:sz="4" w:space="0" w:color="FFFFFF"/>
              <w:right w:val="single" w:sz="4" w:space="0" w:color="FFFFFF"/>
            </w:tcBorders>
            <w:shd w:val="clear" w:color="auto" w:fill="E1E3F2"/>
          </w:tcPr>
          <w:p w14:paraId="7A408F57" w14:textId="77777777" w:rsidR="00B74969" w:rsidRPr="003241FC" w:rsidRDefault="00786EA7" w:rsidP="0041662C">
            <w:r w:rsidRPr="003241FC">
              <w:t xml:space="preserve"> </w:t>
            </w:r>
          </w:p>
        </w:tc>
      </w:tr>
      <w:tr w:rsidR="0095392C" w:rsidRPr="0041662C" w14:paraId="0C24B9B9" w14:textId="77777777" w:rsidTr="00AA35AB">
        <w:tc>
          <w:tcPr>
            <w:tcW w:w="645" w:type="pct"/>
            <w:tcBorders>
              <w:bottom w:val="single" w:sz="4" w:space="0" w:color="FFFFFF"/>
            </w:tcBorders>
            <w:shd w:val="clear" w:color="auto" w:fill="E1E3F2"/>
          </w:tcPr>
          <w:p w14:paraId="25DEBE1B" w14:textId="77777777" w:rsidR="0095392C" w:rsidRPr="0041662C" w:rsidRDefault="0095392C" w:rsidP="0041662C">
            <w:r w:rsidRPr="0041662C">
              <w:t>92-95</w:t>
            </w:r>
          </w:p>
        </w:tc>
        <w:tc>
          <w:tcPr>
            <w:tcW w:w="812" w:type="pct"/>
            <w:tcBorders>
              <w:bottom w:val="single" w:sz="4" w:space="0" w:color="FFFFFF"/>
            </w:tcBorders>
            <w:shd w:val="clear" w:color="auto" w:fill="E1E3F2"/>
          </w:tcPr>
          <w:p w14:paraId="6D2FE13B" w14:textId="77777777" w:rsidR="0095392C" w:rsidRPr="0041662C" w:rsidRDefault="0095392C" w:rsidP="0041662C"/>
        </w:tc>
        <w:tc>
          <w:tcPr>
            <w:tcW w:w="2031" w:type="pct"/>
            <w:tcBorders>
              <w:bottom w:val="single" w:sz="4" w:space="0" w:color="FFFFFF"/>
            </w:tcBorders>
            <w:shd w:val="clear" w:color="auto" w:fill="E1E3F2"/>
          </w:tcPr>
          <w:p w14:paraId="60E082F3" w14:textId="77777777" w:rsidR="0095392C" w:rsidRPr="0041662C" w:rsidRDefault="0095392C" w:rsidP="0041662C">
            <w:pPr>
              <w:rPr>
                <w:b/>
              </w:rPr>
            </w:pPr>
            <w:r w:rsidRPr="0041662C">
              <w:rPr>
                <w:b/>
              </w:rPr>
              <w:t>Comment:</w:t>
            </w:r>
          </w:p>
          <w:p w14:paraId="200CA17C" w14:textId="77777777" w:rsidR="0095392C" w:rsidRPr="0041662C" w:rsidRDefault="0095392C" w:rsidP="0041662C">
            <w:r w:rsidRPr="0041662C">
              <w:t xml:space="preserve">IVIVC for OIPs is currently not well established and no specific guideline is available. </w:t>
            </w:r>
            <w:r w:rsidR="00786EA7" w:rsidRPr="0041662C">
              <w:t>Nevertheless,</w:t>
            </w:r>
            <w:r w:rsidRPr="0041662C">
              <w:t xml:space="preserve"> impactor testing of OIPs is nowadays recognized as a very reliable and powerful tool able to characterize and discriminate the APSD of aerosols generated by OIPs. </w:t>
            </w:r>
          </w:p>
          <w:p w14:paraId="1F9BD988" w14:textId="77777777" w:rsidR="0095392C" w:rsidRPr="0041662C" w:rsidRDefault="0095392C" w:rsidP="0041662C">
            <w:r w:rsidRPr="0041662C">
              <w:t xml:space="preserve">In case any APSD parameter (e.g. fraction &lt;5mcm, fraction &lt;3mcm) is found to have a correlation with in-vivo PK parameters (i.e. AUC, </w:t>
            </w:r>
            <w:proofErr w:type="spellStart"/>
            <w:r w:rsidRPr="0041662C">
              <w:t>Cmax</w:t>
            </w:r>
            <w:proofErr w:type="spellEnd"/>
            <w:r w:rsidRPr="0041662C">
              <w:t>), it is considered sensible to use this in-vitro “predictor” to potentially introduce a correction factors that accounts for the Reference and Test product inherent variability (intra-, inter-batch and stability-related).</w:t>
            </w:r>
          </w:p>
          <w:p w14:paraId="38F4F4D3" w14:textId="77777777" w:rsidR="0095392C" w:rsidRPr="0041662C" w:rsidRDefault="0095392C" w:rsidP="0041662C">
            <w:r w:rsidRPr="0041662C">
              <w:t>Arguably, even when no strong IVIVC correlation can be established, in-vitro predictor could still be proposed based on biopharmaceutical considerations related to the specific API.</w:t>
            </w:r>
          </w:p>
          <w:p w14:paraId="286101E5" w14:textId="77777777" w:rsidR="0095392C" w:rsidRPr="0041662C" w:rsidRDefault="0095392C" w:rsidP="0041662C"/>
          <w:p w14:paraId="2C926D5C" w14:textId="77777777" w:rsidR="0095392C" w:rsidRPr="0041662C" w:rsidRDefault="0095392C" w:rsidP="0041662C">
            <w:pPr>
              <w:rPr>
                <w:b/>
              </w:rPr>
            </w:pPr>
            <w:r w:rsidRPr="0041662C">
              <w:rPr>
                <w:b/>
              </w:rPr>
              <w:t>Proposed change (if any):</w:t>
            </w:r>
          </w:p>
          <w:p w14:paraId="087A1A9F" w14:textId="77777777" w:rsidR="0095392C" w:rsidRPr="005F0F63" w:rsidRDefault="0095392C" w:rsidP="0041662C">
            <w:pPr>
              <w:rPr>
                <w:strike/>
              </w:rPr>
            </w:pPr>
            <w:r w:rsidRPr="0041662C">
              <w:t xml:space="preserve">Clarification should be provided on the pre-requisites to allow </w:t>
            </w:r>
            <w:r w:rsidRPr="0041662C">
              <w:lastRenderedPageBreak/>
              <w:t xml:space="preserve">implementation of a correction factor as well as procedure to calculate it. </w:t>
            </w:r>
          </w:p>
          <w:p w14:paraId="4F5C0214" w14:textId="77777777" w:rsidR="0095392C" w:rsidRPr="0041662C" w:rsidRDefault="0095392C" w:rsidP="0041662C">
            <w:r w:rsidRPr="0041662C">
              <w:t>Moreover, minimum requirements to declare an acceptable IVIVC would be welcome. Internal and/or external predictability acceptance criteria for the IVIVC model should be defined (e.g. 10% on average prediction error, 15% on individual prediction error; in line with “Guidance for Industry - Extended Release Oral Dosage Form: Development, Evaluation and Application of In Vitro/In Vi</w:t>
            </w:r>
            <w:r w:rsidR="00DC79ED" w:rsidRPr="0041662C">
              <w:t>vo Correlations September 1997”</w:t>
            </w:r>
            <w:r w:rsidRPr="0041662C">
              <w:t>).</w:t>
            </w:r>
          </w:p>
        </w:tc>
        <w:tc>
          <w:tcPr>
            <w:tcW w:w="1512" w:type="pct"/>
            <w:tcBorders>
              <w:bottom w:val="single" w:sz="4" w:space="0" w:color="FFFFFF"/>
            </w:tcBorders>
            <w:shd w:val="clear" w:color="auto" w:fill="E1E3F2"/>
          </w:tcPr>
          <w:p w14:paraId="17C89B93" w14:textId="77777777" w:rsidR="001F4C0C" w:rsidRDefault="001F4C0C" w:rsidP="0041662C">
            <w:pPr>
              <w:rPr>
                <w:color w:val="FF0000"/>
              </w:rPr>
            </w:pPr>
          </w:p>
          <w:p w14:paraId="060515DF" w14:textId="77777777" w:rsidR="00702425" w:rsidRPr="0041662C" w:rsidRDefault="00786EA7" w:rsidP="0041662C">
            <w:pPr>
              <w:rPr>
                <w:color w:val="FF0000"/>
              </w:rPr>
            </w:pPr>
            <w:r>
              <w:t xml:space="preserve"> </w:t>
            </w:r>
            <w:r w:rsidR="00702425" w:rsidRPr="0041662C">
              <w:rPr>
                <w:color w:val="FF0000"/>
              </w:rPr>
              <w:t xml:space="preserve"> </w:t>
            </w:r>
          </w:p>
        </w:tc>
      </w:tr>
      <w:tr w:rsidR="00191360" w:rsidRPr="0041662C" w14:paraId="45BBC1D6" w14:textId="77777777" w:rsidTr="00191360">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77F59A09" w14:textId="77777777" w:rsidR="00191360" w:rsidRPr="0041662C" w:rsidRDefault="00191360" w:rsidP="0041662C">
            <w:pPr>
              <w:pStyle w:val="TabletextrowsAgency"/>
              <w:spacing w:line="240" w:lineRule="auto"/>
            </w:pPr>
            <w:r w:rsidRPr="0041662C">
              <w:lastRenderedPageBreak/>
              <w:t>97-99</w:t>
            </w:r>
          </w:p>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24235570" w14:textId="77777777" w:rsidR="00191360" w:rsidRPr="0041662C" w:rsidRDefault="001215D2" w:rsidP="0041662C">
            <w:pPr>
              <w:pStyle w:val="TabletextrowsAgency"/>
              <w:spacing w:line="240" w:lineRule="auto"/>
              <w:rPr>
                <w:b/>
              </w:rPr>
            </w:pPr>
            <w:r>
              <w:rPr>
                <w:b/>
              </w:rPr>
              <w:t xml:space="preserve"> </w:t>
            </w:r>
          </w:p>
        </w:tc>
        <w:tc>
          <w:tcPr>
            <w:tcW w:w="2031" w:type="pct"/>
            <w:tcBorders>
              <w:top w:val="single" w:sz="6" w:space="0" w:color="FFFFFF"/>
              <w:left w:val="single" w:sz="6" w:space="0" w:color="FFFFFF"/>
              <w:bottom w:val="single" w:sz="6" w:space="0" w:color="FFFFFF"/>
              <w:right w:val="single" w:sz="6" w:space="0" w:color="FFFFFF"/>
            </w:tcBorders>
            <w:shd w:val="clear" w:color="auto" w:fill="E1E3F2"/>
          </w:tcPr>
          <w:p w14:paraId="7A91816D" w14:textId="77777777" w:rsidR="00191360" w:rsidRPr="0041662C" w:rsidRDefault="00191360" w:rsidP="0041662C">
            <w:pPr>
              <w:pStyle w:val="Default"/>
              <w:rPr>
                <w:b/>
                <w:sz w:val="18"/>
                <w:szCs w:val="18"/>
              </w:rPr>
            </w:pPr>
            <w:r w:rsidRPr="0041662C">
              <w:rPr>
                <w:b/>
                <w:sz w:val="18"/>
                <w:szCs w:val="18"/>
              </w:rPr>
              <w:t xml:space="preserve">Comment: </w:t>
            </w:r>
          </w:p>
          <w:p w14:paraId="3B1F2756" w14:textId="77777777" w:rsidR="00191360" w:rsidRDefault="00191360" w:rsidP="0041662C">
            <w:pPr>
              <w:pStyle w:val="Default"/>
              <w:rPr>
                <w:sz w:val="18"/>
                <w:szCs w:val="18"/>
              </w:rPr>
            </w:pPr>
            <w:r w:rsidRPr="0041662C">
              <w:rPr>
                <w:sz w:val="18"/>
                <w:szCs w:val="18"/>
              </w:rPr>
              <w:t xml:space="preserve">When studying inhaled corticosteroids the current guideline </w:t>
            </w:r>
            <w:r w:rsidR="00074D6C">
              <w:rPr>
                <w:sz w:val="18"/>
                <w:szCs w:val="18"/>
              </w:rPr>
              <w:t xml:space="preserve">(p.15) </w:t>
            </w:r>
            <w:r w:rsidRPr="0041662C">
              <w:rPr>
                <w:sz w:val="18"/>
                <w:szCs w:val="18"/>
              </w:rPr>
              <w:t xml:space="preserve">states that in </w:t>
            </w:r>
            <w:proofErr w:type="spellStart"/>
            <w:r w:rsidRPr="0041662C">
              <w:rPr>
                <w:sz w:val="18"/>
                <w:szCs w:val="18"/>
              </w:rPr>
              <w:t>bronchoprotection</w:t>
            </w:r>
            <w:proofErr w:type="spellEnd"/>
            <w:r w:rsidRPr="0041662C">
              <w:rPr>
                <w:sz w:val="18"/>
                <w:szCs w:val="18"/>
              </w:rPr>
              <w:t xml:space="preserve"> studies each dose should be given via each device during at least 4 weeks. This makes the total study time very long in a cross-over study. The dose-response in bronchodilatation may be too </w:t>
            </w:r>
            <w:r w:rsidRPr="001215D2">
              <w:rPr>
                <w:sz w:val="18"/>
                <w:szCs w:val="18"/>
              </w:rPr>
              <w:t>we</w:t>
            </w:r>
            <w:r w:rsidR="001215D2" w:rsidRPr="001215D2">
              <w:rPr>
                <w:sz w:val="18"/>
                <w:szCs w:val="18"/>
              </w:rPr>
              <w:t>a</w:t>
            </w:r>
            <w:r w:rsidRPr="001215D2">
              <w:rPr>
                <w:sz w:val="18"/>
                <w:szCs w:val="18"/>
              </w:rPr>
              <w:t>k</w:t>
            </w:r>
            <w:r w:rsidRPr="0041662C">
              <w:rPr>
                <w:sz w:val="18"/>
                <w:szCs w:val="18"/>
              </w:rPr>
              <w:t xml:space="preserve"> to make that a useful alternative.</w:t>
            </w:r>
          </w:p>
          <w:p w14:paraId="3534E815" w14:textId="77777777" w:rsidR="001F4C0C" w:rsidRPr="00767BC3" w:rsidRDefault="001F4C0C" w:rsidP="0041662C">
            <w:pPr>
              <w:pStyle w:val="Default"/>
              <w:rPr>
                <w:sz w:val="18"/>
                <w:szCs w:val="18"/>
              </w:rPr>
            </w:pPr>
          </w:p>
          <w:p w14:paraId="49B83F4D" w14:textId="77777777" w:rsidR="00191360" w:rsidRPr="0041662C" w:rsidRDefault="00191360" w:rsidP="0041662C">
            <w:pPr>
              <w:pStyle w:val="Default"/>
              <w:rPr>
                <w:b/>
                <w:sz w:val="18"/>
                <w:szCs w:val="18"/>
              </w:rPr>
            </w:pPr>
            <w:r w:rsidRPr="0041662C">
              <w:rPr>
                <w:b/>
                <w:sz w:val="18"/>
                <w:szCs w:val="18"/>
              </w:rPr>
              <w:t xml:space="preserve">Proposed change (if any): </w:t>
            </w:r>
          </w:p>
          <w:p w14:paraId="3C61465D" w14:textId="77777777" w:rsidR="00191360" w:rsidRPr="00767BC3" w:rsidRDefault="00191360" w:rsidP="0041662C">
            <w:pPr>
              <w:pStyle w:val="Default"/>
              <w:rPr>
                <w:sz w:val="18"/>
                <w:szCs w:val="18"/>
              </w:rPr>
            </w:pPr>
            <w:r w:rsidRPr="0041662C">
              <w:rPr>
                <w:sz w:val="18"/>
                <w:szCs w:val="18"/>
              </w:rPr>
              <w:t xml:space="preserve">Discuss alternative design </w:t>
            </w:r>
            <w:r w:rsidR="006C11B8" w:rsidRPr="001215D2">
              <w:rPr>
                <w:sz w:val="18"/>
                <w:szCs w:val="18"/>
              </w:rPr>
              <w:t>options</w:t>
            </w:r>
            <w:r w:rsidR="006C11B8" w:rsidRPr="0041662C">
              <w:rPr>
                <w:b/>
                <w:sz w:val="18"/>
                <w:szCs w:val="18"/>
              </w:rPr>
              <w:t xml:space="preserve"> </w:t>
            </w:r>
            <w:r w:rsidRPr="0041662C">
              <w:rPr>
                <w:sz w:val="18"/>
                <w:szCs w:val="18"/>
              </w:rPr>
              <w:t>for cross-over studies (shorter treatments, ascending doses without washout)</w:t>
            </w:r>
          </w:p>
        </w:tc>
        <w:tc>
          <w:tcPr>
            <w:tcW w:w="1512" w:type="pct"/>
            <w:tcBorders>
              <w:top w:val="single" w:sz="6" w:space="0" w:color="FFFFFF"/>
              <w:left w:val="single" w:sz="6" w:space="0" w:color="FFFFFF"/>
              <w:bottom w:val="single" w:sz="6" w:space="0" w:color="FFFFFF"/>
              <w:right w:val="single" w:sz="4" w:space="0" w:color="FFFFFF"/>
            </w:tcBorders>
            <w:shd w:val="clear" w:color="auto" w:fill="E1E3F2"/>
          </w:tcPr>
          <w:p w14:paraId="7AD52C02" w14:textId="77777777" w:rsidR="00A31823" w:rsidRPr="001215D2" w:rsidRDefault="00074D6C" w:rsidP="0041662C">
            <w:pPr>
              <w:pStyle w:val="TabletextrowsAgency"/>
              <w:spacing w:line="240" w:lineRule="auto"/>
              <w:rPr>
                <w:color w:val="FF0000"/>
              </w:rPr>
            </w:pPr>
            <w:r>
              <w:rPr>
                <w:color w:val="FF0000"/>
              </w:rPr>
              <w:t xml:space="preserve"> </w:t>
            </w:r>
          </w:p>
          <w:p w14:paraId="5F063AD7" w14:textId="77777777" w:rsidR="00A31823" w:rsidRPr="0041662C" w:rsidRDefault="00A31823" w:rsidP="0041662C">
            <w:pPr>
              <w:pStyle w:val="TabletextrowsAgency"/>
              <w:spacing w:line="240" w:lineRule="auto"/>
            </w:pPr>
          </w:p>
          <w:p w14:paraId="0D0C3C86" w14:textId="77777777" w:rsidR="00A31823" w:rsidRPr="0041662C" w:rsidRDefault="00A31823" w:rsidP="0041662C">
            <w:pPr>
              <w:pStyle w:val="TabletextrowsAgency"/>
              <w:spacing w:line="240" w:lineRule="auto"/>
            </w:pPr>
          </w:p>
          <w:p w14:paraId="297AA22B" w14:textId="77777777" w:rsidR="006C11B8" w:rsidRPr="0041662C" w:rsidRDefault="006C11B8" w:rsidP="0041662C">
            <w:pPr>
              <w:pStyle w:val="TabletextrowsAgency"/>
              <w:spacing w:line="240" w:lineRule="auto"/>
            </w:pPr>
          </w:p>
          <w:p w14:paraId="60AC1C04" w14:textId="77777777" w:rsidR="006C11B8" w:rsidRPr="0041662C" w:rsidRDefault="001215D2" w:rsidP="0041662C">
            <w:pPr>
              <w:pStyle w:val="TabletextrowsAgency"/>
              <w:spacing w:line="240" w:lineRule="auto"/>
            </w:pPr>
            <w:r>
              <w:t xml:space="preserve"> </w:t>
            </w:r>
          </w:p>
        </w:tc>
      </w:tr>
      <w:tr w:rsidR="00226BD8" w:rsidRPr="00226BD8" w14:paraId="65F16AB9" w14:textId="77777777" w:rsidTr="00226BD8">
        <w:tc>
          <w:tcPr>
            <w:tcW w:w="645" w:type="pct"/>
            <w:tcBorders>
              <w:top w:val="single" w:sz="6" w:space="0" w:color="FFFFFF"/>
              <w:left w:val="single" w:sz="4" w:space="0" w:color="FFFFFF"/>
              <w:bottom w:val="single" w:sz="6" w:space="0" w:color="FFFFFF"/>
              <w:right w:val="single" w:sz="6" w:space="0" w:color="FFFFFF"/>
            </w:tcBorders>
            <w:shd w:val="clear" w:color="auto" w:fill="E1E3F2"/>
          </w:tcPr>
          <w:p w14:paraId="54E2EF72" w14:textId="77777777" w:rsidR="00226BD8" w:rsidRPr="00226BD8" w:rsidRDefault="00226BD8" w:rsidP="00226BD8">
            <w:pPr>
              <w:pStyle w:val="TabletextrowsAgency"/>
              <w:spacing w:line="240" w:lineRule="auto"/>
            </w:pPr>
            <w:r w:rsidRPr="00226BD8">
              <w:t>102 - 103</w:t>
            </w:r>
          </w:p>
        </w:tc>
        <w:tc>
          <w:tcPr>
            <w:tcW w:w="812" w:type="pct"/>
            <w:tcBorders>
              <w:top w:val="single" w:sz="6" w:space="0" w:color="FFFFFF"/>
              <w:left w:val="single" w:sz="6" w:space="0" w:color="FFFFFF"/>
              <w:bottom w:val="single" w:sz="6" w:space="0" w:color="FFFFFF"/>
              <w:right w:val="single" w:sz="6" w:space="0" w:color="FFFFFF"/>
            </w:tcBorders>
            <w:shd w:val="clear" w:color="auto" w:fill="E1E3F2"/>
          </w:tcPr>
          <w:p w14:paraId="2108BFC8" w14:textId="77777777" w:rsidR="00226BD8" w:rsidRPr="00226BD8" w:rsidRDefault="00226BD8" w:rsidP="00226BD8">
            <w:pPr>
              <w:pStyle w:val="TabletextrowsAgency"/>
              <w:spacing w:line="240" w:lineRule="auto"/>
            </w:pPr>
            <w:r w:rsidRPr="00226BD8">
              <w:t xml:space="preserve"> </w:t>
            </w:r>
          </w:p>
        </w:tc>
        <w:tc>
          <w:tcPr>
            <w:tcW w:w="2031" w:type="pct"/>
            <w:tcBorders>
              <w:top w:val="single" w:sz="6" w:space="0" w:color="FFFFFF"/>
              <w:left w:val="single" w:sz="6" w:space="0" w:color="FFFFFF"/>
              <w:bottom w:val="single" w:sz="6" w:space="0" w:color="FFFFFF"/>
              <w:right w:val="single" w:sz="6" w:space="0" w:color="FFFFFF"/>
            </w:tcBorders>
            <w:shd w:val="clear" w:color="auto" w:fill="E1E3F2"/>
          </w:tcPr>
          <w:p w14:paraId="67B22D8D" w14:textId="77777777" w:rsidR="00226BD8" w:rsidRPr="00226BD8" w:rsidRDefault="00226BD8" w:rsidP="00226BD8">
            <w:pPr>
              <w:pStyle w:val="Default"/>
              <w:rPr>
                <w:sz w:val="18"/>
                <w:szCs w:val="18"/>
              </w:rPr>
            </w:pPr>
            <w:r w:rsidRPr="00226BD8">
              <w:rPr>
                <w:sz w:val="18"/>
                <w:szCs w:val="18"/>
              </w:rPr>
              <w:t>‘</w:t>
            </w:r>
            <w:r w:rsidRPr="00226BD8">
              <w:rPr>
                <w:i/>
                <w:sz w:val="18"/>
                <w:szCs w:val="18"/>
              </w:rPr>
              <w:t>Recommendations are needed as to whether pharmacodynamic data obtained in healthy volunteers can be used to show therapeutic equivalence</w:t>
            </w:r>
            <w:r w:rsidRPr="00226BD8">
              <w:rPr>
                <w:sz w:val="18"/>
                <w:szCs w:val="18"/>
              </w:rPr>
              <w:t>’.</w:t>
            </w:r>
          </w:p>
          <w:p w14:paraId="398A6885" w14:textId="77777777" w:rsidR="00226BD8" w:rsidRPr="00226BD8" w:rsidRDefault="00226BD8" w:rsidP="00226BD8">
            <w:pPr>
              <w:pStyle w:val="Default"/>
              <w:rPr>
                <w:sz w:val="18"/>
                <w:szCs w:val="18"/>
              </w:rPr>
            </w:pPr>
          </w:p>
          <w:p w14:paraId="0DD8782F" w14:textId="77777777" w:rsidR="00226BD8" w:rsidRPr="00226BD8" w:rsidRDefault="00226BD8" w:rsidP="00226BD8">
            <w:pPr>
              <w:pStyle w:val="Default"/>
              <w:rPr>
                <w:b/>
                <w:sz w:val="18"/>
                <w:szCs w:val="18"/>
              </w:rPr>
            </w:pPr>
            <w:r w:rsidRPr="00226BD8">
              <w:rPr>
                <w:b/>
                <w:sz w:val="18"/>
                <w:szCs w:val="18"/>
              </w:rPr>
              <w:t>Comment:</w:t>
            </w:r>
          </w:p>
          <w:p w14:paraId="44874996" w14:textId="77777777" w:rsidR="00226BD8" w:rsidRPr="00226BD8" w:rsidRDefault="00226BD8" w:rsidP="00226BD8">
            <w:pPr>
              <w:pStyle w:val="Default"/>
              <w:rPr>
                <w:sz w:val="18"/>
                <w:szCs w:val="18"/>
              </w:rPr>
            </w:pPr>
            <w:r w:rsidRPr="00226BD8">
              <w:rPr>
                <w:sz w:val="18"/>
                <w:szCs w:val="18"/>
              </w:rPr>
              <w:t>We support that recommendations are needed and would highlight that a cautious approach should be taken in recommending that PD data from HV are a suitable alternative for patient PD.  For example, considering the limited ability of healthy volunteers to demonstrate a response for this reason the methods would likely lack the ability to discriminate between test and reference products.</w:t>
            </w:r>
          </w:p>
        </w:tc>
        <w:tc>
          <w:tcPr>
            <w:tcW w:w="1512" w:type="pct"/>
            <w:tcBorders>
              <w:top w:val="single" w:sz="6" w:space="0" w:color="FFFFFF"/>
              <w:left w:val="single" w:sz="6" w:space="0" w:color="FFFFFF"/>
              <w:bottom w:val="single" w:sz="6" w:space="0" w:color="FFFFFF"/>
              <w:right w:val="single" w:sz="4" w:space="0" w:color="FFFFFF"/>
            </w:tcBorders>
            <w:shd w:val="clear" w:color="auto" w:fill="E1E3F2"/>
          </w:tcPr>
          <w:p w14:paraId="151EE745" w14:textId="20D5A813" w:rsidR="00226BD8" w:rsidRPr="00226BD8" w:rsidRDefault="00226BD8" w:rsidP="00226BD8">
            <w:pPr>
              <w:pStyle w:val="TabletextrowsAgency"/>
              <w:spacing w:line="240" w:lineRule="auto"/>
            </w:pPr>
            <w:r w:rsidRPr="00226BD8">
              <w:t xml:space="preserve"> </w:t>
            </w:r>
          </w:p>
          <w:p w14:paraId="5C1327F9" w14:textId="78C714EA" w:rsidR="00226BD8" w:rsidRPr="00226BD8" w:rsidRDefault="00226BD8" w:rsidP="00226BD8">
            <w:pPr>
              <w:pStyle w:val="TabletextrowsAgency"/>
              <w:spacing w:line="240" w:lineRule="auto"/>
            </w:pPr>
          </w:p>
        </w:tc>
      </w:tr>
      <w:tr w:rsidR="00B74969" w:rsidRPr="0041662C" w14:paraId="70AB1672" w14:textId="77777777" w:rsidTr="00B87ACC">
        <w:tc>
          <w:tcPr>
            <w:tcW w:w="645" w:type="pct"/>
            <w:shd w:val="clear" w:color="auto" w:fill="E1E3F2"/>
          </w:tcPr>
          <w:p w14:paraId="4F07F64C" w14:textId="77777777" w:rsidR="00B74969" w:rsidRPr="0041662C" w:rsidRDefault="00B74969" w:rsidP="0041662C">
            <w:pPr>
              <w:pStyle w:val="TabletextrowsAgency"/>
              <w:spacing w:line="240" w:lineRule="auto"/>
            </w:pPr>
            <w:r w:rsidRPr="0041662C">
              <w:t>104-105</w:t>
            </w:r>
          </w:p>
          <w:p w14:paraId="7F80AD5A" w14:textId="77777777" w:rsidR="00B74969" w:rsidRPr="0041662C" w:rsidRDefault="00B74969" w:rsidP="0041662C"/>
        </w:tc>
        <w:tc>
          <w:tcPr>
            <w:tcW w:w="812" w:type="pct"/>
            <w:shd w:val="clear" w:color="auto" w:fill="E1E3F2"/>
          </w:tcPr>
          <w:p w14:paraId="06875D8B" w14:textId="77777777" w:rsidR="00B74969" w:rsidRPr="0041662C" w:rsidRDefault="00B74969" w:rsidP="0041662C">
            <w:pPr>
              <w:pStyle w:val="TabletextrowsAgency"/>
              <w:spacing w:line="240" w:lineRule="auto"/>
            </w:pPr>
          </w:p>
        </w:tc>
        <w:tc>
          <w:tcPr>
            <w:tcW w:w="2031" w:type="pct"/>
            <w:shd w:val="clear" w:color="auto" w:fill="E1E3F2"/>
          </w:tcPr>
          <w:p w14:paraId="121C5D1D" w14:textId="77777777" w:rsidR="00DB5025" w:rsidRDefault="00DB5025" w:rsidP="00DB5025">
            <w:pPr>
              <w:pStyle w:val="Default"/>
              <w:rPr>
                <w:sz w:val="18"/>
                <w:szCs w:val="18"/>
              </w:rPr>
            </w:pPr>
            <w:r>
              <w:t>‘</w:t>
            </w:r>
            <w:r>
              <w:rPr>
                <w:sz w:val="18"/>
                <w:szCs w:val="18"/>
              </w:rPr>
              <w:t xml:space="preserve">Requirements for user studies on different inhaler devices and the required test panels (e.g. handling studies) should be </w:t>
            </w:r>
            <w:r>
              <w:rPr>
                <w:sz w:val="18"/>
                <w:szCs w:val="18"/>
              </w:rPr>
              <w:lastRenderedPageBreak/>
              <w:t xml:space="preserve">addressed in more detail. </w:t>
            </w:r>
          </w:p>
          <w:p w14:paraId="652CDD2D" w14:textId="77777777" w:rsidR="00DB5025" w:rsidRPr="00DB5025" w:rsidRDefault="00DB5025" w:rsidP="0041662C">
            <w:pPr>
              <w:pStyle w:val="TabletextrowsAgency"/>
              <w:spacing w:line="240" w:lineRule="auto"/>
            </w:pPr>
          </w:p>
          <w:p w14:paraId="052DF7AB" w14:textId="77777777" w:rsidR="00B74969" w:rsidRPr="0041662C" w:rsidRDefault="00B74969" w:rsidP="0041662C">
            <w:pPr>
              <w:pStyle w:val="TabletextrowsAgency"/>
              <w:spacing w:line="240" w:lineRule="auto"/>
              <w:rPr>
                <w:b/>
              </w:rPr>
            </w:pPr>
            <w:r w:rsidRPr="0041662C">
              <w:rPr>
                <w:b/>
              </w:rPr>
              <w:t xml:space="preserve">Comment: </w:t>
            </w:r>
          </w:p>
          <w:p w14:paraId="7FFE1E5D" w14:textId="5830D0A0" w:rsidR="00B74969" w:rsidRPr="00767BC3" w:rsidRDefault="008C1B18" w:rsidP="008C1B18">
            <w:pPr>
              <w:pStyle w:val="TabletextrowsAgency"/>
              <w:spacing w:line="240" w:lineRule="auto"/>
            </w:pPr>
            <w:r>
              <w:t>We support this proposed revision considering that d</w:t>
            </w:r>
            <w:r w:rsidR="00B74969" w:rsidRPr="0041662C">
              <w:t xml:space="preserve">evice robustness and patient usability should be addressed in </w:t>
            </w:r>
            <w:r>
              <w:t xml:space="preserve">appropriate </w:t>
            </w:r>
            <w:r w:rsidR="00B74969" w:rsidRPr="0041662C">
              <w:t>usability studies</w:t>
            </w:r>
            <w:r>
              <w:t xml:space="preserve">, and as part </w:t>
            </w:r>
            <w:r w:rsidR="00B74969" w:rsidRPr="0041662C">
              <w:t xml:space="preserve">a clinical trial. </w:t>
            </w:r>
            <w:r>
              <w:t xml:space="preserve"> </w:t>
            </w:r>
          </w:p>
        </w:tc>
        <w:tc>
          <w:tcPr>
            <w:tcW w:w="1512" w:type="pct"/>
            <w:shd w:val="clear" w:color="auto" w:fill="E1E3F2"/>
          </w:tcPr>
          <w:p w14:paraId="52DFD995" w14:textId="77777777" w:rsidR="00B74969" w:rsidRPr="0041662C" w:rsidRDefault="001215D2" w:rsidP="0041662C">
            <w:pPr>
              <w:pStyle w:val="TabletextrowsAgency"/>
              <w:spacing w:line="240" w:lineRule="auto"/>
            </w:pPr>
            <w:r>
              <w:lastRenderedPageBreak/>
              <w:t xml:space="preserve"> </w:t>
            </w:r>
          </w:p>
        </w:tc>
      </w:tr>
    </w:tbl>
    <w:p w14:paraId="6E891423" w14:textId="77777777" w:rsidR="005D6621" w:rsidRDefault="005D6621">
      <w:pPr>
        <w:pStyle w:val="TableFigurenoteAgency"/>
      </w:pPr>
      <w:r>
        <w:lastRenderedPageBreak/>
        <w:t>Please add more rows if needed.</w:t>
      </w: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2EEE5" w14:textId="77777777" w:rsidR="009A607B" w:rsidRDefault="009A607B">
      <w:r>
        <w:separator/>
      </w:r>
    </w:p>
  </w:endnote>
  <w:endnote w:type="continuationSeparator" w:id="0">
    <w:p w14:paraId="462B8DF0" w14:textId="77777777" w:rsidR="009A607B" w:rsidRDefault="009A6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Angsana New">
    <w:panose1 w:val="00000000000000000000"/>
    <w:charset w:val="DE"/>
    <w:family w:val="roman"/>
    <w:notTrueType/>
    <w:pitch w:val="variable"/>
    <w:sig w:usb0="01000001" w:usb1="00000000" w:usb2="00000000" w:usb3="00000000" w:csb0="0001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Cordia New">
    <w:panose1 w:val="00000000000000000000"/>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8210FC" w14:paraId="5AC73E6E" w14:textId="77777777">
      <w:tc>
        <w:tcPr>
          <w:tcW w:w="5000" w:type="pct"/>
          <w:gridSpan w:val="2"/>
          <w:tcBorders>
            <w:top w:val="single" w:sz="2" w:space="0" w:color="auto"/>
            <w:left w:val="nil"/>
            <w:bottom w:val="nil"/>
            <w:right w:val="nil"/>
          </w:tcBorders>
          <w:tcMar>
            <w:left w:w="0" w:type="dxa"/>
            <w:right w:w="0" w:type="dxa"/>
          </w:tcMar>
        </w:tcPr>
        <w:p w14:paraId="3DC8C8AC" w14:textId="77777777" w:rsidR="008210FC" w:rsidRDefault="008210FC">
          <w:pPr>
            <w:pStyle w:val="FooterAgency"/>
          </w:pPr>
        </w:p>
      </w:tc>
    </w:tr>
    <w:tr w:rsidR="008210FC" w14:paraId="19A22275" w14:textId="77777777">
      <w:trPr>
        <w:trHeight w:val="355"/>
      </w:trPr>
      <w:tc>
        <w:tcPr>
          <w:tcW w:w="3291" w:type="pct"/>
          <w:tcMar>
            <w:left w:w="0" w:type="dxa"/>
            <w:right w:w="0" w:type="dxa"/>
          </w:tcMar>
        </w:tcPr>
        <w:p w14:paraId="28B2FAE6" w14:textId="77777777" w:rsidR="008210FC" w:rsidRDefault="008210FC">
          <w:pPr>
            <w:pStyle w:val="FooterAgency"/>
          </w:pPr>
        </w:p>
      </w:tc>
      <w:tc>
        <w:tcPr>
          <w:tcW w:w="1709" w:type="pct"/>
          <w:tcMar>
            <w:left w:w="0" w:type="dxa"/>
            <w:right w:w="0" w:type="dxa"/>
          </w:tcMar>
        </w:tcPr>
        <w:p w14:paraId="75500379" w14:textId="77777777" w:rsidR="008210FC" w:rsidRDefault="008210FC">
          <w:pPr>
            <w:pStyle w:val="FooterAgency"/>
          </w:pPr>
        </w:p>
      </w:tc>
    </w:tr>
    <w:tr w:rsidR="008210FC" w14:paraId="3478741D" w14:textId="77777777">
      <w:tc>
        <w:tcPr>
          <w:tcW w:w="3291" w:type="pct"/>
          <w:tcMar>
            <w:left w:w="0" w:type="dxa"/>
            <w:right w:w="0" w:type="dxa"/>
          </w:tcMar>
        </w:tcPr>
        <w:p w14:paraId="7C10B2C0" w14:textId="77777777" w:rsidR="008210FC" w:rsidRDefault="008210FC">
          <w:pPr>
            <w:pStyle w:val="FooterAgency"/>
          </w:pPr>
        </w:p>
      </w:tc>
      <w:tc>
        <w:tcPr>
          <w:tcW w:w="1709" w:type="pct"/>
          <w:tcMar>
            <w:left w:w="0" w:type="dxa"/>
            <w:right w:w="0" w:type="dxa"/>
          </w:tcMar>
        </w:tcPr>
        <w:p w14:paraId="27A65E32" w14:textId="28BD7669" w:rsidR="008210FC" w:rsidRDefault="008210FC">
          <w:pPr>
            <w:pStyle w:val="PagenumberAgency"/>
            <w:ind w:right="210"/>
          </w:pPr>
          <w:r>
            <w:fldChar w:fldCharType="begin"/>
          </w:r>
          <w:r>
            <w:instrText xml:space="preserve"> PAGE </w:instrText>
          </w:r>
          <w:r>
            <w:fldChar w:fldCharType="separate"/>
          </w:r>
          <w:r w:rsidR="004C38F7">
            <w:rPr>
              <w:noProof/>
            </w:rPr>
            <w:t>2</w:t>
          </w:r>
          <w:r>
            <w:fldChar w:fldCharType="end"/>
          </w:r>
          <w:r>
            <w:t>/</w:t>
          </w:r>
          <w:r>
            <w:fldChar w:fldCharType="begin"/>
          </w:r>
          <w:r>
            <w:instrText xml:space="preserve"> NUMPAGES </w:instrText>
          </w:r>
          <w:r>
            <w:fldChar w:fldCharType="separate"/>
          </w:r>
          <w:r w:rsidR="004C38F7">
            <w:rPr>
              <w:noProof/>
            </w:rPr>
            <w:t>9</w:t>
          </w:r>
          <w:r>
            <w:fldChar w:fldCharType="end"/>
          </w:r>
        </w:p>
      </w:tc>
    </w:tr>
  </w:tbl>
  <w:p w14:paraId="0C0B4F1C" w14:textId="77777777" w:rsidR="008210FC" w:rsidRDefault="008210FC">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8210FC" w14:paraId="7DCA11F4" w14:textId="77777777">
      <w:tc>
        <w:tcPr>
          <w:tcW w:w="9413" w:type="dxa"/>
          <w:gridSpan w:val="2"/>
          <w:tcBorders>
            <w:top w:val="single" w:sz="2" w:space="0" w:color="auto"/>
            <w:left w:val="nil"/>
            <w:bottom w:val="nil"/>
            <w:right w:val="nil"/>
          </w:tcBorders>
          <w:tcMar>
            <w:left w:w="0" w:type="dxa"/>
            <w:right w:w="0" w:type="dxa"/>
          </w:tcMar>
          <w:vAlign w:val="bottom"/>
        </w:tcPr>
        <w:p w14:paraId="7E64D847" w14:textId="77777777" w:rsidR="008210FC" w:rsidRDefault="008210FC">
          <w:pPr>
            <w:pStyle w:val="FooterAgency"/>
          </w:pPr>
        </w:p>
      </w:tc>
    </w:tr>
    <w:tr w:rsidR="008210FC" w14:paraId="39A2CA93" w14:textId="77777777">
      <w:trPr>
        <w:cantSplit/>
        <w:trHeight w:hRule="exact" w:val="198"/>
      </w:trPr>
      <w:tc>
        <w:tcPr>
          <w:tcW w:w="6206" w:type="dxa"/>
          <w:tcMar>
            <w:left w:w="0" w:type="dxa"/>
            <w:right w:w="0" w:type="dxa"/>
          </w:tcMar>
          <w:vAlign w:val="bottom"/>
        </w:tcPr>
        <w:p w14:paraId="4C1FA8B6" w14:textId="77777777" w:rsidR="008210FC" w:rsidRDefault="008210FC">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78"/>
            <w:gridCol w:w="727"/>
          </w:tblGrid>
          <w:tr w:rsidR="008210FC" w14:paraId="045AC189" w14:textId="77777777">
            <w:trPr>
              <w:cantSplit/>
              <w:trHeight w:val="180"/>
              <w:tblHeader/>
              <w:jc w:val="right"/>
            </w:trPr>
            <w:tc>
              <w:tcPr>
                <w:tcW w:w="2478" w:type="dxa"/>
                <w:vMerge w:val="restart"/>
                <w:tcBorders>
                  <w:top w:val="nil"/>
                  <w:left w:val="nil"/>
                  <w:bottom w:val="nil"/>
                  <w:right w:val="nil"/>
                </w:tcBorders>
                <w:vAlign w:val="bottom"/>
              </w:tcPr>
              <w:p w14:paraId="75983DAF" w14:textId="77777777" w:rsidR="008210FC" w:rsidRDefault="008210FC">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6C834E2B" w14:textId="77777777" w:rsidR="008210FC" w:rsidRDefault="008210FC">
                <w:pPr>
                  <w:pStyle w:val="FooterAgency"/>
                  <w:jc w:val="right"/>
                </w:pPr>
                <w:r>
                  <w:rPr>
                    <w:noProof/>
                    <w:lang w:val="en-US" w:eastAsia="en-US"/>
                  </w:rPr>
                  <w:drawing>
                    <wp:inline distT="0" distB="0" distL="0" distR="0" wp14:anchorId="2F701D0B" wp14:editId="7B16E970">
                      <wp:extent cx="389255" cy="262255"/>
                      <wp:effectExtent l="0" t="0" r="0" b="0"/>
                      <wp:docPr id="3" name="Image 3"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255" cy="262255"/>
                              </a:xfrm>
                              <a:prstGeom prst="rect">
                                <a:avLst/>
                              </a:prstGeom>
                              <a:noFill/>
                              <a:ln>
                                <a:noFill/>
                              </a:ln>
                            </pic:spPr>
                          </pic:pic>
                        </a:graphicData>
                      </a:graphic>
                    </wp:inline>
                  </w:drawing>
                </w:r>
              </w:p>
            </w:tc>
          </w:tr>
          <w:tr w:rsidR="008210FC" w14:paraId="48351394" w14:textId="77777777">
            <w:trPr>
              <w:cantSplit/>
              <w:trHeight w:val="390"/>
              <w:jc w:val="right"/>
            </w:trPr>
            <w:tc>
              <w:tcPr>
                <w:tcW w:w="2478" w:type="dxa"/>
                <w:vMerge/>
                <w:vAlign w:val="bottom"/>
              </w:tcPr>
              <w:p w14:paraId="28BF4644" w14:textId="77777777" w:rsidR="008210FC" w:rsidRDefault="008210FC">
                <w:pPr>
                  <w:pStyle w:val="FooterAgency"/>
                </w:pPr>
              </w:p>
            </w:tc>
            <w:tc>
              <w:tcPr>
                <w:tcW w:w="709" w:type="dxa"/>
                <w:vMerge/>
                <w:vAlign w:val="bottom"/>
              </w:tcPr>
              <w:p w14:paraId="4CF75999" w14:textId="77777777" w:rsidR="008210FC" w:rsidRDefault="008210FC">
                <w:pPr>
                  <w:pStyle w:val="FooterAgency"/>
                </w:pPr>
              </w:p>
            </w:tc>
          </w:tr>
        </w:tbl>
        <w:p w14:paraId="373CFC2B" w14:textId="77777777" w:rsidR="008210FC" w:rsidRDefault="008210FC">
          <w:pPr>
            <w:pStyle w:val="FooterAgency"/>
            <w:widowControl w:val="0"/>
            <w:adjustRightInd w:val="0"/>
            <w:jc w:val="right"/>
          </w:pPr>
        </w:p>
      </w:tc>
    </w:tr>
    <w:tr w:rsidR="008210FC" w14:paraId="36C6D11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8210FC" w14:paraId="12D72158" w14:textId="77777777">
            <w:trPr>
              <w:trHeight w:hRule="exact" w:val="198"/>
            </w:trPr>
            <w:tc>
              <w:tcPr>
                <w:tcW w:w="840" w:type="dxa"/>
                <w:gridSpan w:val="2"/>
                <w:vAlign w:val="bottom"/>
              </w:tcPr>
              <w:p w14:paraId="354231C9" w14:textId="77777777" w:rsidR="008210FC" w:rsidRDefault="008210FC">
                <w:pPr>
                  <w:pStyle w:val="FooterblueAgency"/>
                </w:pPr>
                <w:r>
                  <w:t>Telephone</w:t>
                </w:r>
              </w:p>
            </w:tc>
            <w:tc>
              <w:tcPr>
                <w:tcW w:w="1648" w:type="dxa"/>
                <w:gridSpan w:val="2"/>
                <w:vAlign w:val="bottom"/>
              </w:tcPr>
              <w:p w14:paraId="477CB154" w14:textId="77777777" w:rsidR="008210FC" w:rsidRDefault="008210FC">
                <w:pPr>
                  <w:pStyle w:val="FooterAgency"/>
                </w:pPr>
                <w:r>
                  <w:t>+44 (0)20 7418 8400</w:t>
                </w:r>
              </w:p>
            </w:tc>
            <w:tc>
              <w:tcPr>
                <w:tcW w:w="726" w:type="dxa"/>
                <w:gridSpan w:val="2"/>
                <w:vAlign w:val="bottom"/>
              </w:tcPr>
              <w:p w14:paraId="15ABBE08" w14:textId="77777777" w:rsidR="008210FC" w:rsidRDefault="008210FC">
                <w:pPr>
                  <w:pStyle w:val="FooterblueAgency"/>
                </w:pPr>
                <w:r>
                  <w:t>Facsimile</w:t>
                </w:r>
              </w:p>
            </w:tc>
            <w:tc>
              <w:tcPr>
                <w:tcW w:w="2767" w:type="dxa"/>
                <w:vAlign w:val="bottom"/>
              </w:tcPr>
              <w:p w14:paraId="78A5FC90" w14:textId="77777777" w:rsidR="008210FC" w:rsidRDefault="008210FC">
                <w:pPr>
                  <w:pStyle w:val="FooterAgency"/>
                </w:pPr>
                <w:r>
                  <w:t>+44 (0)20 7418 8416</w:t>
                </w:r>
              </w:p>
            </w:tc>
          </w:tr>
          <w:tr w:rsidR="008210FC" w14:paraId="11C48DEB" w14:textId="77777777">
            <w:trPr>
              <w:trHeight w:hRule="exact" w:val="198"/>
            </w:trPr>
            <w:tc>
              <w:tcPr>
                <w:tcW w:w="522" w:type="dxa"/>
                <w:vAlign w:val="bottom"/>
              </w:tcPr>
              <w:p w14:paraId="6226D85A" w14:textId="77777777" w:rsidR="008210FC" w:rsidRDefault="008210FC">
                <w:pPr>
                  <w:pStyle w:val="FooterblueAgency"/>
                </w:pPr>
                <w:r>
                  <w:t>E-mail</w:t>
                </w:r>
              </w:p>
            </w:tc>
            <w:tc>
              <w:tcPr>
                <w:tcW w:w="1566" w:type="dxa"/>
                <w:gridSpan w:val="2"/>
                <w:vAlign w:val="bottom"/>
              </w:tcPr>
              <w:p w14:paraId="0746D50F" w14:textId="77777777" w:rsidR="008210FC" w:rsidRDefault="008210FC">
                <w:pPr>
                  <w:pStyle w:val="FooterAgency"/>
                </w:pPr>
                <w:r>
                  <w:t>info@ema.europa.eu</w:t>
                </w:r>
              </w:p>
            </w:tc>
            <w:tc>
              <w:tcPr>
                <w:tcW w:w="649" w:type="dxa"/>
                <w:gridSpan w:val="2"/>
                <w:vAlign w:val="bottom"/>
              </w:tcPr>
              <w:p w14:paraId="43684431" w14:textId="77777777" w:rsidR="008210FC" w:rsidRDefault="008210FC">
                <w:pPr>
                  <w:pStyle w:val="FooterblueAgency"/>
                </w:pPr>
                <w:r>
                  <w:t>Website</w:t>
                </w:r>
              </w:p>
            </w:tc>
            <w:tc>
              <w:tcPr>
                <w:tcW w:w="3244" w:type="dxa"/>
                <w:gridSpan w:val="2"/>
                <w:vAlign w:val="bottom"/>
              </w:tcPr>
              <w:p w14:paraId="120CD7EE" w14:textId="77777777" w:rsidR="008210FC" w:rsidRDefault="008210FC">
                <w:pPr>
                  <w:pStyle w:val="FooterAgency"/>
                </w:pPr>
                <w:r>
                  <w:t>www.ema.europa.eu</w:t>
                </w:r>
              </w:p>
            </w:tc>
          </w:tr>
        </w:tbl>
        <w:p w14:paraId="3C853CA6" w14:textId="77777777" w:rsidR="008210FC" w:rsidRDefault="008210FC">
          <w:pPr>
            <w:pStyle w:val="FooterAgency"/>
          </w:pPr>
        </w:p>
      </w:tc>
      <w:tc>
        <w:tcPr>
          <w:tcW w:w="3207" w:type="dxa"/>
          <w:vMerge/>
          <w:tcMar>
            <w:left w:w="0" w:type="dxa"/>
            <w:right w:w="0" w:type="dxa"/>
          </w:tcMar>
          <w:vAlign w:val="bottom"/>
        </w:tcPr>
        <w:p w14:paraId="5E7482B2" w14:textId="77777777" w:rsidR="008210FC" w:rsidRDefault="008210FC">
          <w:pPr>
            <w:pStyle w:val="FooterAgency"/>
          </w:pPr>
        </w:p>
      </w:tc>
    </w:tr>
    <w:tr w:rsidR="008210FC" w14:paraId="6C0958FE" w14:textId="77777777">
      <w:tc>
        <w:tcPr>
          <w:tcW w:w="9413" w:type="dxa"/>
          <w:gridSpan w:val="2"/>
          <w:tcMar>
            <w:left w:w="0" w:type="dxa"/>
            <w:right w:w="0" w:type="dxa"/>
          </w:tcMar>
          <w:vAlign w:val="bottom"/>
        </w:tcPr>
        <w:p w14:paraId="044F29F5" w14:textId="77777777" w:rsidR="008210FC" w:rsidRDefault="008210FC">
          <w:pPr>
            <w:pStyle w:val="FooterAgency"/>
          </w:pPr>
        </w:p>
      </w:tc>
    </w:tr>
    <w:tr w:rsidR="008210FC" w14:paraId="71854BA2" w14:textId="77777777">
      <w:tc>
        <w:tcPr>
          <w:tcW w:w="9413" w:type="dxa"/>
          <w:gridSpan w:val="2"/>
          <w:tcMar>
            <w:left w:w="0" w:type="dxa"/>
            <w:right w:w="0" w:type="dxa"/>
          </w:tcMar>
          <w:vAlign w:val="bottom"/>
        </w:tcPr>
        <w:p w14:paraId="3DA802EE" w14:textId="77777777" w:rsidR="008210FC" w:rsidRDefault="008210FC">
          <w:pPr>
            <w:pStyle w:val="FooterAgency"/>
            <w:jc w:val="center"/>
          </w:pPr>
        </w:p>
      </w:tc>
    </w:tr>
  </w:tbl>
  <w:p w14:paraId="21B38AA0" w14:textId="77777777" w:rsidR="008210FC" w:rsidRDefault="008210FC">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27585" w14:textId="77777777" w:rsidR="009A607B" w:rsidRDefault="009A607B">
      <w:r>
        <w:separator/>
      </w:r>
    </w:p>
  </w:footnote>
  <w:footnote w:type="continuationSeparator" w:id="0">
    <w:p w14:paraId="361F0D89" w14:textId="77777777" w:rsidR="009A607B" w:rsidRDefault="009A60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21EDB" w14:textId="77777777" w:rsidR="008210FC" w:rsidRDefault="008210FC">
    <w:pPr>
      <w:pStyle w:val="FooterAgency"/>
      <w:jc w:val="center"/>
    </w:pPr>
    <w:r>
      <w:rPr>
        <w:noProof/>
        <w:lang w:val="en-US" w:eastAsia="en-US"/>
      </w:rPr>
      <w:drawing>
        <wp:inline distT="0" distB="0" distL="0" distR="0" wp14:anchorId="2E22E665" wp14:editId="0BED7362">
          <wp:extent cx="3557905" cy="1801495"/>
          <wp:effectExtent l="0" t="0" r="0" b="1905"/>
          <wp:docPr id="2" name="Image 2"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7905" cy="1801495"/>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F0B1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03819FD"/>
    <w:multiLevelType w:val="hybridMultilevel"/>
    <w:tmpl w:val="70B08006"/>
    <w:lvl w:ilvl="0" w:tplc="046E5766">
      <w:numFmt w:val="bullet"/>
      <w:lvlText w:val="-"/>
      <w:lvlJc w:val="left"/>
      <w:pPr>
        <w:ind w:left="720" w:hanging="360"/>
      </w:pPr>
      <w:rPr>
        <w:rFonts w:ascii="Verdana" w:eastAsia="Times New Roman" w:hAnsi="Verdana" w:cs="Verdan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2BB3014"/>
    <w:multiLevelType w:val="hybridMultilevel"/>
    <w:tmpl w:val="90E04CF8"/>
    <w:lvl w:ilvl="0" w:tplc="21728AA6">
      <w:numFmt w:val="bullet"/>
      <w:lvlText w:val="-"/>
      <w:lvlJc w:val="left"/>
      <w:pPr>
        <w:ind w:left="720" w:hanging="360"/>
      </w:pPr>
      <w:rPr>
        <w:rFonts w:ascii="Verdana" w:eastAsia="Times New Roman" w:hAnsi="Verdana"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629A73FA"/>
    <w:multiLevelType w:val="hybridMultilevel"/>
    <w:tmpl w:val="3836D2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DD12894"/>
    <w:multiLevelType w:val="hybridMultilevel"/>
    <w:tmpl w:val="F4809B48"/>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73E5713D"/>
    <w:multiLevelType w:val="hybridMultilevel"/>
    <w:tmpl w:val="FAF89822"/>
    <w:lvl w:ilvl="0" w:tplc="67F80346">
      <w:start w:val="34"/>
      <w:numFmt w:val="bullet"/>
      <w:lvlText w:val="-"/>
      <w:lvlJc w:val="left"/>
      <w:pPr>
        <w:ind w:left="720" w:hanging="360"/>
      </w:pPr>
      <w:rPr>
        <w:rFonts w:ascii="Verdana" w:eastAsia="SimSu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4F40744"/>
    <w:multiLevelType w:val="multilevel"/>
    <w:tmpl w:val="CD9A1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1"/>
  </w:num>
  <w:num w:numId="2">
    <w:abstractNumId w:val="13"/>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5"/>
  </w:num>
  <w:num w:numId="13">
    <w:abstractNumId w:val="12"/>
  </w:num>
  <w:num w:numId="14">
    <w:abstractNumId w:val="21"/>
  </w:num>
  <w:num w:numId="15">
    <w:abstractNumId w:val="14"/>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5"/>
  </w:num>
  <w:num w:numId="39">
    <w:abstractNumId w:val="12"/>
  </w:num>
  <w:num w:numId="40">
    <w:abstractNumId w:val="0"/>
  </w:num>
  <w:num w:numId="41">
    <w:abstractNumId w:val="23"/>
  </w:num>
  <w:num w:numId="42">
    <w:abstractNumId w:val="18"/>
  </w:num>
  <w:num w:numId="43">
    <w:abstractNumId w:val="24"/>
  </w:num>
  <w:num w:numId="44">
    <w:abstractNumId w:val="20"/>
  </w:num>
  <w:num w:numId="45">
    <w:abstractNumId w:val="22"/>
  </w:num>
  <w:num w:numId="46">
    <w:abstractNumId w:val="2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attachedTemplate r:id="rId1"/>
  <w:documentProtection w:edit="readOnly" w:enforcement="1"/>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21684"/>
    <w:rsid w:val="000235F0"/>
    <w:rsid w:val="00023FDB"/>
    <w:rsid w:val="00047E3B"/>
    <w:rsid w:val="00056535"/>
    <w:rsid w:val="00066668"/>
    <w:rsid w:val="00074D6C"/>
    <w:rsid w:val="000852D0"/>
    <w:rsid w:val="00093E39"/>
    <w:rsid w:val="00094172"/>
    <w:rsid w:val="00095868"/>
    <w:rsid w:val="00096D3B"/>
    <w:rsid w:val="000B0BB0"/>
    <w:rsid w:val="000C5C57"/>
    <w:rsid w:val="000D15C7"/>
    <w:rsid w:val="000D1603"/>
    <w:rsid w:val="000D4C20"/>
    <w:rsid w:val="000D7F4D"/>
    <w:rsid w:val="000E1392"/>
    <w:rsid w:val="001145D1"/>
    <w:rsid w:val="001215D2"/>
    <w:rsid w:val="001420DD"/>
    <w:rsid w:val="00155F8D"/>
    <w:rsid w:val="00165C64"/>
    <w:rsid w:val="00166049"/>
    <w:rsid w:val="00191360"/>
    <w:rsid w:val="001A2C20"/>
    <w:rsid w:val="001A3E24"/>
    <w:rsid w:val="001A6487"/>
    <w:rsid w:val="001B082D"/>
    <w:rsid w:val="001C2C42"/>
    <w:rsid w:val="001D185D"/>
    <w:rsid w:val="001F1B58"/>
    <w:rsid w:val="001F1C86"/>
    <w:rsid w:val="001F3855"/>
    <w:rsid w:val="001F4C0C"/>
    <w:rsid w:val="001F7E51"/>
    <w:rsid w:val="002027F4"/>
    <w:rsid w:val="00226BD8"/>
    <w:rsid w:val="00267911"/>
    <w:rsid w:val="00274029"/>
    <w:rsid w:val="0028154E"/>
    <w:rsid w:val="00291581"/>
    <w:rsid w:val="00297A4B"/>
    <w:rsid w:val="002A1FBA"/>
    <w:rsid w:val="002C4F54"/>
    <w:rsid w:val="002D2C36"/>
    <w:rsid w:val="002D2DCD"/>
    <w:rsid w:val="00300A1B"/>
    <w:rsid w:val="003101A3"/>
    <w:rsid w:val="00322624"/>
    <w:rsid w:val="003241FC"/>
    <w:rsid w:val="00340EF0"/>
    <w:rsid w:val="00356524"/>
    <w:rsid w:val="0036196E"/>
    <w:rsid w:val="00367528"/>
    <w:rsid w:val="003722B6"/>
    <w:rsid w:val="003824C6"/>
    <w:rsid w:val="003C4D35"/>
    <w:rsid w:val="003D3A9E"/>
    <w:rsid w:val="003E7B44"/>
    <w:rsid w:val="003F3012"/>
    <w:rsid w:val="00402431"/>
    <w:rsid w:val="00402900"/>
    <w:rsid w:val="004034E3"/>
    <w:rsid w:val="00404BDB"/>
    <w:rsid w:val="0041662C"/>
    <w:rsid w:val="00426FEA"/>
    <w:rsid w:val="00431F74"/>
    <w:rsid w:val="004434E5"/>
    <w:rsid w:val="00443A4E"/>
    <w:rsid w:val="004557A6"/>
    <w:rsid w:val="0045621C"/>
    <w:rsid w:val="0046576A"/>
    <w:rsid w:val="00491731"/>
    <w:rsid w:val="00493566"/>
    <w:rsid w:val="004A383E"/>
    <w:rsid w:val="004B3585"/>
    <w:rsid w:val="004C38F7"/>
    <w:rsid w:val="004D050D"/>
    <w:rsid w:val="004E7520"/>
    <w:rsid w:val="004F7E2C"/>
    <w:rsid w:val="00503BB1"/>
    <w:rsid w:val="00507420"/>
    <w:rsid w:val="00512042"/>
    <w:rsid w:val="00533B29"/>
    <w:rsid w:val="00541D76"/>
    <w:rsid w:val="00556594"/>
    <w:rsid w:val="00566ECD"/>
    <w:rsid w:val="00594001"/>
    <w:rsid w:val="005A40F5"/>
    <w:rsid w:val="005D3428"/>
    <w:rsid w:val="005D6621"/>
    <w:rsid w:val="005F0F63"/>
    <w:rsid w:val="00605C56"/>
    <w:rsid w:val="006075CC"/>
    <w:rsid w:val="00621A78"/>
    <w:rsid w:val="0062264A"/>
    <w:rsid w:val="00642B5C"/>
    <w:rsid w:val="00642E7D"/>
    <w:rsid w:val="00653A26"/>
    <w:rsid w:val="0065429D"/>
    <w:rsid w:val="006741F3"/>
    <w:rsid w:val="006874D8"/>
    <w:rsid w:val="00697DE2"/>
    <w:rsid w:val="006A066F"/>
    <w:rsid w:val="006B13E0"/>
    <w:rsid w:val="006C11B8"/>
    <w:rsid w:val="006C236E"/>
    <w:rsid w:val="006D3D90"/>
    <w:rsid w:val="006F357D"/>
    <w:rsid w:val="00702425"/>
    <w:rsid w:val="00752B16"/>
    <w:rsid w:val="00767BC3"/>
    <w:rsid w:val="0077351B"/>
    <w:rsid w:val="00786EA7"/>
    <w:rsid w:val="00797442"/>
    <w:rsid w:val="007A763C"/>
    <w:rsid w:val="007C0578"/>
    <w:rsid w:val="007E792B"/>
    <w:rsid w:val="007F0650"/>
    <w:rsid w:val="00801426"/>
    <w:rsid w:val="00803B65"/>
    <w:rsid w:val="008210FC"/>
    <w:rsid w:val="008256FD"/>
    <w:rsid w:val="008309AF"/>
    <w:rsid w:val="008405BE"/>
    <w:rsid w:val="00845277"/>
    <w:rsid w:val="00851CB2"/>
    <w:rsid w:val="00871873"/>
    <w:rsid w:val="00883A70"/>
    <w:rsid w:val="008859EF"/>
    <w:rsid w:val="00890811"/>
    <w:rsid w:val="0089128F"/>
    <w:rsid w:val="00894ED8"/>
    <w:rsid w:val="008A78A6"/>
    <w:rsid w:val="008C1B18"/>
    <w:rsid w:val="008C3379"/>
    <w:rsid w:val="008D487F"/>
    <w:rsid w:val="008D4F7F"/>
    <w:rsid w:val="008E5EBC"/>
    <w:rsid w:val="008E6B0E"/>
    <w:rsid w:val="008F0457"/>
    <w:rsid w:val="008F3C4B"/>
    <w:rsid w:val="00913FB3"/>
    <w:rsid w:val="00922D9C"/>
    <w:rsid w:val="00945EB1"/>
    <w:rsid w:val="009503B9"/>
    <w:rsid w:val="0095392C"/>
    <w:rsid w:val="0096710D"/>
    <w:rsid w:val="00972A0E"/>
    <w:rsid w:val="00976C07"/>
    <w:rsid w:val="009A247E"/>
    <w:rsid w:val="009A4607"/>
    <w:rsid w:val="009A607B"/>
    <w:rsid w:val="009B559C"/>
    <w:rsid w:val="009C0754"/>
    <w:rsid w:val="009C3401"/>
    <w:rsid w:val="009C7D8E"/>
    <w:rsid w:val="009C7F56"/>
    <w:rsid w:val="00A00DD0"/>
    <w:rsid w:val="00A20706"/>
    <w:rsid w:val="00A25180"/>
    <w:rsid w:val="00A31823"/>
    <w:rsid w:val="00A37225"/>
    <w:rsid w:val="00A430CB"/>
    <w:rsid w:val="00A4431E"/>
    <w:rsid w:val="00A57935"/>
    <w:rsid w:val="00A63614"/>
    <w:rsid w:val="00A64CFB"/>
    <w:rsid w:val="00A70F8E"/>
    <w:rsid w:val="00A74AC8"/>
    <w:rsid w:val="00A76971"/>
    <w:rsid w:val="00A8290A"/>
    <w:rsid w:val="00A8469B"/>
    <w:rsid w:val="00A854E6"/>
    <w:rsid w:val="00AA1167"/>
    <w:rsid w:val="00AA35AB"/>
    <w:rsid w:val="00AB60F9"/>
    <w:rsid w:val="00AC2002"/>
    <w:rsid w:val="00AC2268"/>
    <w:rsid w:val="00AC4C7F"/>
    <w:rsid w:val="00AC7985"/>
    <w:rsid w:val="00AD057F"/>
    <w:rsid w:val="00AD778A"/>
    <w:rsid w:val="00AE5267"/>
    <w:rsid w:val="00AF3F95"/>
    <w:rsid w:val="00B02A36"/>
    <w:rsid w:val="00B05D6E"/>
    <w:rsid w:val="00B10B5A"/>
    <w:rsid w:val="00B13DFB"/>
    <w:rsid w:val="00B14180"/>
    <w:rsid w:val="00B16A49"/>
    <w:rsid w:val="00B2426B"/>
    <w:rsid w:val="00B27D58"/>
    <w:rsid w:val="00B27FC7"/>
    <w:rsid w:val="00B4561D"/>
    <w:rsid w:val="00B56F10"/>
    <w:rsid w:val="00B57FEF"/>
    <w:rsid w:val="00B618BA"/>
    <w:rsid w:val="00B74969"/>
    <w:rsid w:val="00B75BAD"/>
    <w:rsid w:val="00B82A76"/>
    <w:rsid w:val="00B87ACC"/>
    <w:rsid w:val="00BD1949"/>
    <w:rsid w:val="00BE32DB"/>
    <w:rsid w:val="00BE765D"/>
    <w:rsid w:val="00C011D8"/>
    <w:rsid w:val="00C51B71"/>
    <w:rsid w:val="00C56051"/>
    <w:rsid w:val="00C7088B"/>
    <w:rsid w:val="00C724AC"/>
    <w:rsid w:val="00C8540C"/>
    <w:rsid w:val="00C87367"/>
    <w:rsid w:val="00C93465"/>
    <w:rsid w:val="00CB036C"/>
    <w:rsid w:val="00CB171C"/>
    <w:rsid w:val="00CB5354"/>
    <w:rsid w:val="00CB5C67"/>
    <w:rsid w:val="00CB66CC"/>
    <w:rsid w:val="00CD21C0"/>
    <w:rsid w:val="00CE7221"/>
    <w:rsid w:val="00CE7F33"/>
    <w:rsid w:val="00D11771"/>
    <w:rsid w:val="00D142CF"/>
    <w:rsid w:val="00D35DF6"/>
    <w:rsid w:val="00D40A89"/>
    <w:rsid w:val="00D42092"/>
    <w:rsid w:val="00D94EEE"/>
    <w:rsid w:val="00DB5025"/>
    <w:rsid w:val="00DB7203"/>
    <w:rsid w:val="00DC25B3"/>
    <w:rsid w:val="00DC79ED"/>
    <w:rsid w:val="00DD0269"/>
    <w:rsid w:val="00DD0633"/>
    <w:rsid w:val="00DD3C7B"/>
    <w:rsid w:val="00DD6BE2"/>
    <w:rsid w:val="00E00899"/>
    <w:rsid w:val="00E1735B"/>
    <w:rsid w:val="00E267DE"/>
    <w:rsid w:val="00E42DF5"/>
    <w:rsid w:val="00E63A9F"/>
    <w:rsid w:val="00E76633"/>
    <w:rsid w:val="00EA398D"/>
    <w:rsid w:val="00EA3AD3"/>
    <w:rsid w:val="00EB6901"/>
    <w:rsid w:val="00EC7A18"/>
    <w:rsid w:val="00ED180E"/>
    <w:rsid w:val="00ED76B6"/>
    <w:rsid w:val="00EF149E"/>
    <w:rsid w:val="00EF1F25"/>
    <w:rsid w:val="00F05049"/>
    <w:rsid w:val="00F058E2"/>
    <w:rsid w:val="00F163A1"/>
    <w:rsid w:val="00F47B7F"/>
    <w:rsid w:val="00F53440"/>
    <w:rsid w:val="00F60708"/>
    <w:rsid w:val="00F648D8"/>
    <w:rsid w:val="00F65FE7"/>
    <w:rsid w:val="00F84B0F"/>
    <w:rsid w:val="00F914AE"/>
    <w:rsid w:val="00FA3F24"/>
    <w:rsid w:val="00FB2416"/>
    <w:rsid w:val="00FD4459"/>
    <w:rsid w:val="00FE30A5"/>
    <w:rsid w:val="00FF1557"/>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4DB2A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uiPriority w:val="99"/>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CommentTextChar">
    <w:name w:val="Comment Text Char"/>
    <w:link w:val="CommentText"/>
    <w:uiPriority w:val="99"/>
    <w:semiHidden/>
    <w:locked/>
    <w:rsid w:val="0095392C"/>
    <w:rPr>
      <w:rFonts w:ascii="Verdana" w:hAnsi="Verdana" w:cs="Verdana"/>
      <w:lang w:val="en-GB" w:eastAsia="zh-CN"/>
    </w:rPr>
  </w:style>
  <w:style w:type="paragraph" w:customStyle="1" w:styleId="Default">
    <w:name w:val="Default"/>
    <w:rsid w:val="00621A78"/>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uiPriority w:val="72"/>
    <w:rsid w:val="008A78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uiPriority w:val="99"/>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character" w:customStyle="1" w:styleId="CommentTextChar">
    <w:name w:val="Comment Text Char"/>
    <w:link w:val="CommentText"/>
    <w:uiPriority w:val="99"/>
    <w:semiHidden/>
    <w:locked/>
    <w:rsid w:val="0095392C"/>
    <w:rPr>
      <w:rFonts w:ascii="Verdana" w:hAnsi="Verdana" w:cs="Verdana"/>
      <w:lang w:val="en-GB" w:eastAsia="zh-CN"/>
    </w:rPr>
  </w:style>
  <w:style w:type="paragraph" w:customStyle="1" w:styleId="Default">
    <w:name w:val="Default"/>
    <w:rsid w:val="00621A78"/>
    <w:pPr>
      <w:autoSpaceDE w:val="0"/>
      <w:autoSpaceDN w:val="0"/>
      <w:adjustRightInd w:val="0"/>
    </w:pPr>
    <w:rPr>
      <w:rFonts w:ascii="Verdana" w:hAnsi="Verdana" w:cs="Verdana"/>
      <w:color w:val="000000"/>
      <w:sz w:val="24"/>
      <w:szCs w:val="24"/>
      <w:lang w:val="en-GB" w:eastAsia="en-GB"/>
    </w:rPr>
  </w:style>
  <w:style w:type="paragraph" w:styleId="ListParagraph">
    <w:name w:val="List Paragraph"/>
    <w:basedOn w:val="Normal"/>
    <w:uiPriority w:val="72"/>
    <w:rsid w:val="008A7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402">
      <w:bodyDiv w:val="1"/>
      <w:marLeft w:val="0"/>
      <w:marRight w:val="0"/>
      <w:marTop w:val="0"/>
      <w:marBottom w:val="0"/>
      <w:divBdr>
        <w:top w:val="none" w:sz="0" w:space="0" w:color="auto"/>
        <w:left w:val="none" w:sz="0" w:space="0" w:color="auto"/>
        <w:bottom w:val="none" w:sz="0" w:space="0" w:color="auto"/>
        <w:right w:val="none" w:sz="0" w:space="0" w:color="auto"/>
      </w:divBdr>
    </w:div>
    <w:div w:id="37753217">
      <w:bodyDiv w:val="1"/>
      <w:marLeft w:val="0"/>
      <w:marRight w:val="0"/>
      <w:marTop w:val="0"/>
      <w:marBottom w:val="0"/>
      <w:divBdr>
        <w:top w:val="none" w:sz="0" w:space="0" w:color="auto"/>
        <w:left w:val="none" w:sz="0" w:space="0" w:color="auto"/>
        <w:bottom w:val="none" w:sz="0" w:space="0" w:color="auto"/>
        <w:right w:val="none" w:sz="0" w:space="0" w:color="auto"/>
      </w:divBdr>
    </w:div>
    <w:div w:id="730425281">
      <w:bodyDiv w:val="1"/>
      <w:marLeft w:val="0"/>
      <w:marRight w:val="0"/>
      <w:marTop w:val="0"/>
      <w:marBottom w:val="0"/>
      <w:divBdr>
        <w:top w:val="none" w:sz="0" w:space="0" w:color="auto"/>
        <w:left w:val="none" w:sz="0" w:space="0" w:color="auto"/>
        <w:bottom w:val="none" w:sz="0" w:space="0" w:color="auto"/>
        <w:right w:val="none" w:sz="0" w:space="0" w:color="auto"/>
      </w:divBdr>
      <w:divsChild>
        <w:div w:id="1732339347">
          <w:marLeft w:val="0"/>
          <w:marRight w:val="0"/>
          <w:marTop w:val="0"/>
          <w:marBottom w:val="0"/>
          <w:divBdr>
            <w:top w:val="none" w:sz="0" w:space="0" w:color="auto"/>
            <w:left w:val="none" w:sz="0" w:space="0" w:color="auto"/>
            <w:bottom w:val="none" w:sz="0" w:space="0" w:color="auto"/>
            <w:right w:val="none" w:sz="0" w:space="0" w:color="auto"/>
          </w:divBdr>
          <w:divsChild>
            <w:div w:id="403334651">
              <w:marLeft w:val="0"/>
              <w:marRight w:val="0"/>
              <w:marTop w:val="0"/>
              <w:marBottom w:val="0"/>
              <w:divBdr>
                <w:top w:val="none" w:sz="0" w:space="0" w:color="auto"/>
                <w:left w:val="none" w:sz="0" w:space="0" w:color="auto"/>
                <w:bottom w:val="none" w:sz="0" w:space="0" w:color="auto"/>
                <w:right w:val="none" w:sz="0" w:space="0" w:color="auto"/>
              </w:divBdr>
              <w:divsChild>
                <w:div w:id="11004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87019">
      <w:bodyDiv w:val="1"/>
      <w:marLeft w:val="0"/>
      <w:marRight w:val="0"/>
      <w:marTop w:val="0"/>
      <w:marBottom w:val="0"/>
      <w:divBdr>
        <w:top w:val="none" w:sz="0" w:space="0" w:color="auto"/>
        <w:left w:val="none" w:sz="0" w:space="0" w:color="auto"/>
        <w:bottom w:val="none" w:sz="0" w:space="0" w:color="auto"/>
        <w:right w:val="none" w:sz="0" w:space="0" w:color="auto"/>
      </w:divBdr>
    </w:div>
    <w:div w:id="1181352194">
      <w:bodyDiv w:val="1"/>
      <w:marLeft w:val="0"/>
      <w:marRight w:val="0"/>
      <w:marTop w:val="0"/>
      <w:marBottom w:val="0"/>
      <w:divBdr>
        <w:top w:val="none" w:sz="0" w:space="0" w:color="auto"/>
        <w:left w:val="none" w:sz="0" w:space="0" w:color="auto"/>
        <w:bottom w:val="none" w:sz="0" w:space="0" w:color="auto"/>
        <w:right w:val="none" w:sz="0" w:space="0" w:color="auto"/>
      </w:divBdr>
    </w:div>
    <w:div w:id="2026398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yperlink" Target="http://www.ema.europa.eu/ema/index.jsp?curl=pages/regulation/q_and_a/q_and_a_detail_000072.jsp" TargetMode="External"/><Relationship Id="rId13" Type="http://schemas.openxmlformats.org/officeDocument/2006/relationships/hyperlink" Target="http://www.ema.europa.eu/ema/index.jsp?curl=pages/regulation/q_and_a/q_and_a_detail_000072.jsp&amp;mid=WC0b01ac058002c2b0"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DEC2D-85CF-F545-9335-C24B4D3B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3</TotalTime>
  <Pages>9</Pages>
  <Words>1962</Words>
  <Characters>11187</Characters>
  <Application>Microsoft Macintosh Word</Application>
  <DocSecurity>8</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 for submission of comments</vt:lpstr>
      <vt:lpstr>Form for submission of comments</vt:lpstr>
    </vt:vector>
  </TitlesOfParts>
  <Company>European Medicines Agency</Company>
  <LinksUpToDate>false</LinksUpToDate>
  <CharactersWithSpaces>13123</CharactersWithSpaces>
  <SharedDoc>false</SharedDoc>
  <HLinks>
    <vt:vector size="60" baseType="variant">
      <vt:variant>
        <vt:i4>196701</vt:i4>
      </vt:variant>
      <vt:variant>
        <vt:i4>27</vt:i4>
      </vt:variant>
      <vt:variant>
        <vt:i4>0</vt:i4>
      </vt:variant>
      <vt:variant>
        <vt:i4>5</vt:i4>
      </vt:variant>
      <vt:variant>
        <vt:lpwstr>https://www.ncbi.nlm.nih.gov/pubmed/24165906</vt:lpwstr>
      </vt:variant>
      <vt:variant>
        <vt:lpwstr/>
      </vt:variant>
      <vt:variant>
        <vt:i4>4849697</vt:i4>
      </vt:variant>
      <vt:variant>
        <vt:i4>24</vt:i4>
      </vt:variant>
      <vt:variant>
        <vt:i4>0</vt:i4>
      </vt:variant>
      <vt:variant>
        <vt:i4>5</vt:i4>
      </vt:variant>
      <vt:variant>
        <vt:lpwstr>https://www.ncbi.nlm.nih.gov/pubmed/?term=Disse%20B%5BAuthor%5D&amp;cauthor=true&amp;cauthor_uid=24165906</vt:lpwstr>
      </vt:variant>
      <vt:variant>
        <vt:lpwstr/>
      </vt:variant>
      <vt:variant>
        <vt:i4>2949142</vt:i4>
      </vt:variant>
      <vt:variant>
        <vt:i4>21</vt:i4>
      </vt:variant>
      <vt:variant>
        <vt:i4>0</vt:i4>
      </vt:variant>
      <vt:variant>
        <vt:i4>5</vt:i4>
      </vt:variant>
      <vt:variant>
        <vt:lpwstr>https://www.ncbi.nlm.nih.gov/pubmed/?term=Peterkin%20V%5BAuthor%5D&amp;cauthor=true&amp;cauthor_uid=24165906</vt:lpwstr>
      </vt:variant>
      <vt:variant>
        <vt:lpwstr/>
      </vt:variant>
      <vt:variant>
        <vt:i4>4980795</vt:i4>
      </vt:variant>
      <vt:variant>
        <vt:i4>18</vt:i4>
      </vt:variant>
      <vt:variant>
        <vt:i4>0</vt:i4>
      </vt:variant>
      <vt:variant>
        <vt:i4>5</vt:i4>
      </vt:variant>
      <vt:variant>
        <vt:lpwstr>https://www.ncbi.nlm.nih.gov/pubmed/?term=Towse%20L%5BAuthor%5D&amp;cauthor=true&amp;cauthor_uid=24165906</vt:lpwstr>
      </vt:variant>
      <vt:variant>
        <vt:lpwstr/>
      </vt:variant>
      <vt:variant>
        <vt:i4>5898287</vt:i4>
      </vt:variant>
      <vt:variant>
        <vt:i4>15</vt:i4>
      </vt:variant>
      <vt:variant>
        <vt:i4>0</vt:i4>
      </vt:variant>
      <vt:variant>
        <vt:i4>5</vt:i4>
      </vt:variant>
      <vt:variant>
        <vt:lpwstr>https://www.ncbi.nlm.nih.gov/pubmed/?term=Derom%20E%5BAuthor%5D&amp;cauthor=true&amp;cauthor_uid=24165906</vt:lpwstr>
      </vt:variant>
      <vt:variant>
        <vt:lpwstr/>
      </vt:variant>
      <vt:variant>
        <vt:i4>6815838</vt:i4>
      </vt:variant>
      <vt:variant>
        <vt:i4>12</vt:i4>
      </vt:variant>
      <vt:variant>
        <vt:i4>0</vt:i4>
      </vt:variant>
      <vt:variant>
        <vt:i4>5</vt:i4>
      </vt:variant>
      <vt:variant>
        <vt:lpwstr>https://www.ncbi.nlm.nih.gov/pubmed/?term=Cornelissen%20PJ%5BAuthor%5D&amp;cauthor=true&amp;cauthor_uid=24165906</vt:lpwstr>
      </vt:variant>
      <vt:variant>
        <vt:lpwstr/>
      </vt:variant>
      <vt:variant>
        <vt:i4>7405579</vt:i4>
      </vt:variant>
      <vt:variant>
        <vt:i4>9</vt:i4>
      </vt:variant>
      <vt:variant>
        <vt:i4>0</vt:i4>
      </vt:variant>
      <vt:variant>
        <vt:i4>5</vt:i4>
      </vt:variant>
      <vt:variant>
        <vt:lpwstr>https://www.ncbi.nlm.nih.gov/pubmed/?term=van%20Noord%20JA%5BAuthor%5D&amp;cauthor=true&amp;cauthor_uid=24165906</vt:lpwstr>
      </vt:variant>
      <vt:variant>
        <vt:lpwstr/>
      </vt:variant>
      <vt:variant>
        <vt:i4>4456566</vt:i4>
      </vt:variant>
      <vt:variant>
        <vt:i4>6</vt:i4>
      </vt:variant>
      <vt:variant>
        <vt:i4>0</vt:i4>
      </vt:variant>
      <vt:variant>
        <vt:i4>5</vt:i4>
      </vt:variant>
      <vt:variant>
        <vt:lpwstr>https://www.ncbi.nlm.nih.gov/pubmed/?term=Sharma%20A%5BAuthor%5D&amp;cauthor=true&amp;cauthor_uid=24165906</vt:lpwstr>
      </vt:variant>
      <vt:variant>
        <vt:lpwstr/>
      </vt:variant>
      <vt:variant>
        <vt:i4>2031729</vt:i4>
      </vt:variant>
      <vt:variant>
        <vt:i4>3</vt:i4>
      </vt:variant>
      <vt:variant>
        <vt:i4>0</vt:i4>
      </vt:variant>
      <vt:variant>
        <vt:i4>5</vt:i4>
      </vt:variant>
      <vt:variant>
        <vt:lpwstr>https://www.ncbi.nlm.nih.gov/pubmed/?term=Hohlfeld%20JM%5BAuthor%5D&amp;cauthor=true&amp;cauthor_uid=24165906</vt:lpwstr>
      </vt:variant>
      <vt:variant>
        <vt:lpwstr/>
      </vt:variant>
      <vt:variant>
        <vt:i4>6750328</vt:i4>
      </vt:variant>
      <vt:variant>
        <vt:i4>0</vt:i4>
      </vt:variant>
      <vt:variant>
        <vt:i4>0</vt:i4>
      </vt:variant>
      <vt:variant>
        <vt:i4>5</vt:i4>
      </vt:variant>
      <vt:variant>
        <vt:lpwstr>http://www.ema.europa.eu/ema/index.jsp?curl=pages/regulation/q_and_a/q_and_a_detail_000072.jsp&amp;mid=WC0b01ac058002c2b0</vt:lpwstr>
      </vt:variant>
      <vt:variant>
        <vt:lpwstr>section8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subject/>
  <dc:creator>European Medicines Agency</dc:creator>
  <cp:keywords/>
  <dc:description/>
  <cp:lastModifiedBy>Efpia</cp:lastModifiedBy>
  <cp:revision>4</cp:revision>
  <cp:lastPrinted>2017-06-28T16:19:00Z</cp:lastPrinted>
  <dcterms:created xsi:type="dcterms:W3CDTF">2017-06-30T08:10:00Z</dcterms:created>
  <dcterms:modified xsi:type="dcterms:W3CDTF">2017-07-05T07:29:00Z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